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76" w:lineRule="exact"/>
        <w:rPr>
          <w:rFonts w:hint="eastAsia" w:ascii="仿宋_GB2312" w:eastAsia="仿宋_GB2312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职称评审专业目录</w:t>
      </w:r>
    </w:p>
    <w:bookmarkEnd w:id="0"/>
    <w:p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一、机械工程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二、能源电力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三、电子信息工程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四、冶金工程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五、化工工程（医药工程）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六、轻工工程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七、纺织工程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八、工艺美术工程（工业设计工程）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九、煤矿工程（矿山工程）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十、市场技术监督工程 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十一、材料工程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十二、大数据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十三、人工智能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十四、云计算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十五、物联网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十六、区块链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十七、数字化管理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十八、数据安全</w:t>
      </w:r>
    </w:p>
    <w:p>
      <w:r>
        <w:rPr>
          <w:rFonts w:hint="eastAsia" w:ascii="仿宋_GB2312" w:eastAsia="仿宋_GB2312"/>
          <w:sz w:val="32"/>
          <w:szCs w:val="32"/>
        </w:rPr>
        <w:t>十九、数字媒体技术</w:t>
      </w:r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3F00" w:csb1="01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EF2EC"/>
    <w:rsid w:val="2F52F7EA"/>
    <w:rsid w:val="73FEF2EC"/>
    <w:rsid w:val="792FDE91"/>
    <w:rsid w:val="9BFFD234"/>
    <w:rsid w:val="F1FEAEDB"/>
    <w:rsid w:val="FAED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2023-04-19T17:04:00Z</dcterms:created>
  <dc:creator>王文林</dc:creator>
  <cp:lastModifiedBy>王文林</cp:lastModifiedBy>
  <dcterms:modified xsi:type="dcterms:W3CDTF">2023-04-19T17:04:54Z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A613C3B87B8D3B26A8AE3F64372F8760</vt:lpwstr>
  </property>
</Properties>
</file>