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Arial"/>
          <w:sz w:val="32"/>
          <w:szCs w:val="32"/>
          <w:lang w:val="en" w:eastAsia="zh-CN"/>
        </w:rPr>
      </w:pPr>
      <w:bookmarkStart w:id="0" w:name="_GoBack"/>
      <w:r>
        <w:rPr>
          <w:rFonts w:hint="eastAsia" w:ascii="黑体" w:hAnsi="黑体" w:eastAsia="黑体" w:cs="Arial"/>
          <w:sz w:val="32"/>
          <w:szCs w:val="32"/>
          <w:lang w:val="en"/>
        </w:rPr>
        <w:t>附</w:t>
      </w:r>
      <w:r>
        <w:rPr>
          <w:rFonts w:hint="eastAsia" w:ascii="黑体" w:hAnsi="黑体" w:eastAsia="黑体" w:cs="Arial"/>
          <w:sz w:val="32"/>
          <w:szCs w:val="32"/>
          <w:lang w:val="en" w:eastAsia="zh-CN"/>
        </w:rPr>
        <w:t>件</w:t>
      </w:r>
    </w:p>
    <w:p>
      <w:pPr>
        <w:spacing w:after="93" w:afterLines="30" w:line="600" w:lineRule="exact"/>
        <w:jc w:val="center"/>
        <w:rPr>
          <w:rFonts w:hint="eastAsia" w:ascii="方正小标宋_GBK" w:eastAsia="方正小标宋_GBK" w:cs="Arial"/>
          <w:sz w:val="44"/>
          <w:szCs w:val="44"/>
          <w:lang w:val="en"/>
        </w:rPr>
      </w:pPr>
      <w:r>
        <w:rPr>
          <w:rFonts w:hint="eastAsia" w:ascii="方正小标宋_GBK" w:eastAsia="方正小标宋_GBK" w:cs="Arial"/>
          <w:sz w:val="44"/>
          <w:szCs w:val="44"/>
          <w:lang w:val="en"/>
        </w:rPr>
        <w:t>广元市拟新增“十四五”规划加油站点位情况汇总表</w:t>
      </w:r>
    </w:p>
    <w:bookmarkEnd w:id="0"/>
    <w:tbl>
      <w:tblPr>
        <w:tblStyle w:val="3"/>
        <w:tblW w:w="155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853"/>
        <w:gridCol w:w="853"/>
        <w:gridCol w:w="2120"/>
        <w:gridCol w:w="1538"/>
        <w:gridCol w:w="2060"/>
        <w:gridCol w:w="1284"/>
        <w:gridCol w:w="1584"/>
        <w:gridCol w:w="1468"/>
        <w:gridCol w:w="1572"/>
        <w:gridCol w:w="1154"/>
        <w:gridCol w:w="6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规划  编号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县区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拟定名称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建设单位名称或所有制情况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规划地址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道路等级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最近行业间距  （公里）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w w:val="80"/>
                <w:kern w:val="0"/>
                <w:sz w:val="24"/>
                <w:szCs w:val="24"/>
              </w:rPr>
              <w:t>是否属能源综合站是/否）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规划等级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w w:val="80"/>
                <w:kern w:val="0"/>
                <w:sz w:val="24"/>
                <w:szCs w:val="24"/>
              </w:rPr>
              <w:t>（一、二、三级）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拟建时间       （年）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HP11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苍溪县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歧坪镇南阳加油站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待定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歧坪镇南阳社区4组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县乡道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三级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HP11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苍溪县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龙山镇五郎加油站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待定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龙山镇五郎村4组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县乡道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三级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HP11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苍溪县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白桥镇龙江加油站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待定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白桥镇龙江村1组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县乡道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三级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利州区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龙潭乡马家嘴加油站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待定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龙潭乡青龙村1组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县乡道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二级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朝天区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中石油曾家加油站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中国石油天然气股份有限公司四川广元销售分公司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曾家镇白鹰村7组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国省道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二级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迁建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朝天区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李家镇望远山加油站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待定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李家镇望远山社区2组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县乡道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三级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经开区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广陕高速公路陵江服务区南加油站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待定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广陕高速公路陵江服务区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高速服务区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高速服务区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二级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经开区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广陕高速公路陵江服务区北加油站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待定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广陕高速公路陵江服务区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高速服务区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高速服务区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二级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新增</w:t>
            </w:r>
          </w:p>
        </w:tc>
      </w:tr>
    </w:tbl>
    <w:p>
      <w:pPr>
        <w:adjustRightInd w:val="0"/>
        <w:snapToGrid w:val="0"/>
        <w:rPr>
          <w:rFonts w:hint="eastAsia" w:ascii="仿宋_GB2312" w:eastAsia="仿宋_GB2312" w:cs="Arial"/>
          <w:sz w:val="24"/>
          <w:szCs w:val="24"/>
          <w:lang w:val="en"/>
        </w:rPr>
      </w:pPr>
    </w:p>
    <w:p>
      <w:pPr>
        <w:adjustRightInd w:val="0"/>
        <w:snapToGrid w:val="0"/>
        <w:rPr>
          <w:rFonts w:hint="eastAsia" w:ascii="仿宋_GB2312" w:eastAsia="仿宋_GB2312" w:cs="Arial"/>
          <w:sz w:val="24"/>
          <w:szCs w:val="24"/>
          <w:lang w:val="en"/>
        </w:rPr>
      </w:pPr>
      <w:r>
        <w:rPr>
          <w:rFonts w:hint="eastAsia" w:ascii="仿宋_GB2312" w:eastAsia="仿宋_GB2312" w:cs="Arial"/>
          <w:sz w:val="24"/>
          <w:szCs w:val="24"/>
          <w:lang w:val="en"/>
        </w:rPr>
        <w:t>注：根据《汽车加油加气站设计与施工规范》（GB50156-2012）加油站的等级根据加油站油罐容积和单罐容积来划分的,共分为三级。</w:t>
      </w:r>
    </w:p>
    <w:p>
      <w:pPr>
        <w:adjustRightInd w:val="0"/>
        <w:snapToGrid w:val="0"/>
        <w:rPr>
          <w:rFonts w:hint="eastAsia" w:ascii="仿宋_GB2312" w:eastAsia="仿宋_GB2312" w:cs="Arial"/>
          <w:sz w:val="24"/>
          <w:szCs w:val="24"/>
          <w:lang w:val="en"/>
        </w:rPr>
      </w:pPr>
      <w:r>
        <w:rPr>
          <w:rFonts w:hint="eastAsia" w:ascii="仿宋_GB2312" w:eastAsia="仿宋_GB2312" w:cs="Arial"/>
          <w:sz w:val="24"/>
          <w:szCs w:val="24"/>
          <w:lang w:val="en"/>
        </w:rPr>
        <w:t>1.一级加油站:150≤总容积≤210m</w:t>
      </w:r>
      <w:r>
        <w:rPr>
          <w:rFonts w:hint="eastAsia" w:ascii="仿宋_GB2312" w:eastAsia="仿宋_GB2312" w:cs="Arial"/>
          <w:sz w:val="24"/>
          <w:szCs w:val="24"/>
          <w:vertAlign w:val="superscript"/>
          <w:lang w:val="en"/>
        </w:rPr>
        <w:t>3</w:t>
      </w:r>
      <w:r>
        <w:rPr>
          <w:rFonts w:hint="eastAsia" w:ascii="仿宋_GB2312" w:eastAsia="仿宋_GB2312" w:cs="Arial"/>
          <w:sz w:val="24"/>
          <w:szCs w:val="24"/>
          <w:lang w:val="en"/>
        </w:rPr>
        <w:t>,单罐容积≤50m</w:t>
      </w:r>
      <w:r>
        <w:rPr>
          <w:rFonts w:hint="eastAsia" w:ascii="仿宋_GB2312" w:eastAsia="仿宋_GB2312" w:cs="Arial"/>
          <w:sz w:val="24"/>
          <w:szCs w:val="24"/>
          <w:vertAlign w:val="superscript"/>
          <w:lang w:val="en"/>
        </w:rPr>
        <w:t>3</w:t>
      </w:r>
      <w:r>
        <w:rPr>
          <w:rFonts w:hint="eastAsia" w:ascii="仿宋_GB2312" w:eastAsia="仿宋_GB2312" w:cs="Arial"/>
          <w:sz w:val="24"/>
          <w:szCs w:val="24"/>
          <w:lang w:val="en"/>
        </w:rPr>
        <w:t xml:space="preserve">; </w:t>
      </w:r>
    </w:p>
    <w:p>
      <w:pPr>
        <w:adjustRightInd w:val="0"/>
        <w:snapToGrid w:val="0"/>
        <w:rPr>
          <w:rFonts w:hint="eastAsia" w:ascii="仿宋_GB2312" w:eastAsia="仿宋_GB2312" w:cs="Arial"/>
          <w:sz w:val="24"/>
          <w:szCs w:val="24"/>
          <w:lang w:val="en"/>
        </w:rPr>
      </w:pPr>
      <w:r>
        <w:rPr>
          <w:rFonts w:hint="eastAsia" w:ascii="仿宋_GB2312" w:eastAsia="仿宋_GB2312" w:cs="Arial"/>
          <w:sz w:val="24"/>
          <w:szCs w:val="24"/>
          <w:lang w:val="en"/>
        </w:rPr>
        <w:t>2.二级加油站: 90≤总容积≤150m</w:t>
      </w:r>
      <w:r>
        <w:rPr>
          <w:rFonts w:hint="eastAsia" w:ascii="仿宋_GB2312" w:eastAsia="仿宋_GB2312" w:cs="Arial"/>
          <w:sz w:val="24"/>
          <w:szCs w:val="24"/>
          <w:vertAlign w:val="superscript"/>
          <w:lang w:val="en"/>
        </w:rPr>
        <w:t>3</w:t>
      </w:r>
      <w:r>
        <w:rPr>
          <w:rFonts w:hint="eastAsia" w:ascii="仿宋_GB2312" w:eastAsia="仿宋_GB2312" w:cs="Arial"/>
          <w:sz w:val="24"/>
          <w:szCs w:val="24"/>
          <w:lang w:val="en"/>
        </w:rPr>
        <w:t>,单罐容积≤50m</w:t>
      </w:r>
      <w:r>
        <w:rPr>
          <w:rFonts w:hint="eastAsia" w:ascii="仿宋_GB2312" w:eastAsia="仿宋_GB2312" w:cs="Arial"/>
          <w:sz w:val="24"/>
          <w:szCs w:val="24"/>
          <w:vertAlign w:val="superscript"/>
          <w:lang w:val="en"/>
        </w:rPr>
        <w:t>3</w:t>
      </w:r>
      <w:r>
        <w:rPr>
          <w:rFonts w:hint="eastAsia" w:ascii="仿宋_GB2312" w:eastAsia="仿宋_GB2312" w:cs="Arial"/>
          <w:sz w:val="24"/>
          <w:szCs w:val="24"/>
          <w:lang w:val="en"/>
        </w:rPr>
        <w:t xml:space="preserve">;  </w:t>
      </w:r>
    </w:p>
    <w:p>
      <w:pPr>
        <w:adjustRightInd w:val="0"/>
        <w:snapToGrid w:val="0"/>
      </w:pPr>
      <w:r>
        <w:rPr>
          <w:rFonts w:hint="eastAsia" w:ascii="仿宋_GB2312" w:eastAsia="仿宋_GB2312" w:cs="Arial"/>
          <w:sz w:val="24"/>
          <w:szCs w:val="24"/>
          <w:lang w:val="en"/>
        </w:rPr>
        <w:t>3.三级加油站: 总容积≤90m</w:t>
      </w:r>
      <w:r>
        <w:rPr>
          <w:rFonts w:hint="eastAsia" w:ascii="仿宋_GB2312" w:eastAsia="仿宋_GB2312" w:cs="Arial"/>
          <w:sz w:val="24"/>
          <w:szCs w:val="24"/>
          <w:vertAlign w:val="superscript"/>
          <w:lang w:val="en"/>
        </w:rPr>
        <w:t>3</w:t>
      </w:r>
      <w:r>
        <w:rPr>
          <w:rFonts w:hint="eastAsia" w:ascii="仿宋_GB2312" w:eastAsia="仿宋_GB2312" w:cs="Arial"/>
          <w:sz w:val="24"/>
          <w:szCs w:val="24"/>
          <w:lang w:val="en"/>
        </w:rPr>
        <w:t>,柴油单罐容积≤50m</w:t>
      </w:r>
      <w:r>
        <w:rPr>
          <w:rFonts w:hint="eastAsia" w:ascii="仿宋_GB2312" w:eastAsia="仿宋_GB2312" w:cs="Arial"/>
          <w:sz w:val="24"/>
          <w:szCs w:val="24"/>
          <w:vertAlign w:val="superscript"/>
          <w:lang w:val="en"/>
        </w:rPr>
        <w:t>3</w:t>
      </w:r>
      <w:r>
        <w:rPr>
          <w:rFonts w:hint="eastAsia" w:ascii="仿宋_GB2312" w:eastAsia="仿宋_GB2312" w:cs="Arial"/>
          <w:sz w:val="24"/>
          <w:szCs w:val="24"/>
          <w:lang w:val="en"/>
        </w:rPr>
        <w:t>,汽油单罐容积≤30m</w:t>
      </w:r>
      <w:r>
        <w:rPr>
          <w:rFonts w:hint="eastAsia" w:ascii="仿宋_GB2312" w:eastAsia="仿宋_GB2312" w:cs="Arial"/>
          <w:sz w:val="24"/>
          <w:szCs w:val="24"/>
          <w:vertAlign w:val="superscript"/>
          <w:lang w:val="en"/>
        </w:rPr>
        <w:t>3</w:t>
      </w:r>
      <w:r>
        <w:rPr>
          <w:rFonts w:hint="eastAsia" w:ascii="仿宋_GB2312" w:eastAsia="仿宋_GB2312" w:cs="Arial"/>
          <w:sz w:val="24"/>
          <w:szCs w:val="24"/>
          <w:lang w:val="en"/>
        </w:rPr>
        <w:t>。</w:t>
      </w:r>
    </w:p>
    <w:sectPr>
      <w:pgSz w:w="16838" w:h="11906" w:orient="landscape"/>
      <w:pgMar w:top="1701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3F00" w:csb1="01000013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62E9F"/>
    <w:rsid w:val="2F52F7EA"/>
    <w:rsid w:val="3D762E9F"/>
    <w:rsid w:val="792FDE91"/>
    <w:rsid w:val="9BFFD234"/>
    <w:rsid w:val="F1FEAEDB"/>
    <w:rsid w:val="FAED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2023-10-12T17:08:00Z</dcterms:created>
  <dc:creator>王文林</dc:creator>
  <cp:lastModifiedBy>王文林</cp:lastModifiedBy>
  <dcterms:modified xsi:type="dcterms:W3CDTF">2023-10-12T17:08:45Z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BBA39F55C0D05B2D88B727657F1CDC14</vt:lpwstr>
  </property>
</Properties>
</file>