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ascii="方正小标宋_GBK" w:hAnsi="方正小标宋_GBK" w:eastAsia="方正小标宋_GBK" w:cs="方正小标宋_GBK"/>
          <w:b w:val="0"/>
          <w:bCs w:val="0"/>
          <w:caps w:val="0"/>
          <w:color w:val="auto"/>
          <w:kern w:val="2"/>
          <w:sz w:val="44"/>
          <w:szCs w:val="44"/>
          <w:vertAlign w:val="baseline"/>
          <w:lang w:val="en-US" w:eastAsia="zh-CN" w:bidi="ar"/>
        </w:rPr>
      </w:pPr>
      <w:r>
        <w:rPr>
          <w:rFonts w:ascii="方正小标宋_GBK" w:hAnsi="方正小标宋_GBK" w:eastAsia="方正小标宋_GBK" w:cs="方正小标宋_GBK"/>
          <w:b w:val="0"/>
          <w:bCs w:val="0"/>
          <w:caps w:val="0"/>
          <w:color w:val="auto"/>
          <w:kern w:val="2"/>
          <w:sz w:val="44"/>
          <w:szCs w:val="44"/>
          <w:vertAlign w:val="baseline"/>
          <w:lang w:val="en-US" w:eastAsia="zh-CN" w:bidi="ar"/>
        </w:rPr>
        <w:t>广元市省级定向财力转移支付工业项目</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方正小标宋_GBK" w:hAnsi="方正小标宋_GBK" w:eastAsia="方正小标宋_GBK" w:cs="方正小标宋_GBK"/>
          <w:caps w:val="0"/>
          <w:color w:val="auto"/>
          <w:kern w:val="2"/>
          <w:sz w:val="44"/>
          <w:szCs w:val="44"/>
          <w:vertAlign w:val="baseline"/>
        </w:rPr>
      </w:pPr>
      <w:bookmarkStart w:id="0" w:name="_GoBack"/>
      <w:bookmarkEnd w:id="0"/>
      <w:r>
        <w:rPr>
          <w:rFonts w:ascii="方正小标宋_GBK" w:hAnsi="方正小标宋_GBK" w:eastAsia="方正小标宋_GBK" w:cs="方正小标宋_GBK"/>
          <w:b w:val="0"/>
          <w:bCs w:val="0"/>
          <w:caps w:val="0"/>
          <w:color w:val="auto"/>
          <w:kern w:val="2"/>
          <w:sz w:val="44"/>
          <w:szCs w:val="44"/>
          <w:vertAlign w:val="baseline"/>
          <w:lang w:val="en-US" w:eastAsia="zh-CN" w:bidi="ar"/>
        </w:rPr>
        <w:t>管理办法（试行）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default" w:ascii="楷体" w:hAnsi="楷体" w:eastAsia="楷体" w:cs="楷体"/>
          <w:caps w:val="0"/>
          <w:color w:val="auto"/>
          <w:kern w:val="2"/>
          <w:sz w:val="32"/>
          <w:szCs w:val="32"/>
          <w:vertAlign w:val="baseline"/>
        </w:rPr>
      </w:pPr>
      <w:r>
        <w:rPr>
          <w:rFonts w:ascii="楷体" w:hAnsi="楷体" w:eastAsia="楷体" w:cs="楷体"/>
          <w:b w:val="0"/>
          <w:bCs w:val="0"/>
          <w:caps w:val="0"/>
          <w:color w:val="auto"/>
          <w:kern w:val="2"/>
          <w:sz w:val="32"/>
          <w:szCs w:val="32"/>
          <w:vertAlign w:val="baseline"/>
          <w:lang w:val="en-US" w:eastAsia="zh-CN" w:bidi="ar"/>
        </w:rPr>
        <w:t>（征求意见稿）</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left"/>
        <w:outlineLvl w:val="9"/>
        <w:rPr>
          <w:rFonts w:ascii="黑体" w:hAnsi="宋体" w:eastAsia="黑体" w:cs="黑体"/>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黑体" w:hAnsi="宋体" w:eastAsia="黑体" w:cs="黑体"/>
          <w:caps w:val="0"/>
          <w:color w:val="auto"/>
          <w:kern w:val="2"/>
          <w:sz w:val="32"/>
          <w:szCs w:val="32"/>
          <w:vertAlign w:val="baseline"/>
        </w:rPr>
      </w:pPr>
      <w:r>
        <w:rPr>
          <w:rFonts w:hint="eastAsia" w:ascii="黑体" w:hAnsi="宋体" w:eastAsia="黑体" w:cs="黑体"/>
          <w:b w:val="0"/>
          <w:bCs w:val="0"/>
          <w:caps w:val="0"/>
          <w:color w:val="auto"/>
          <w:kern w:val="2"/>
          <w:sz w:val="32"/>
          <w:szCs w:val="32"/>
          <w:vertAlign w:val="baseline"/>
          <w:lang w:val="en-US" w:eastAsia="zh-CN" w:bidi="ar"/>
        </w:rPr>
        <w:t>第一章   总  则</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left"/>
        <w:outlineLvl w:val="9"/>
        <w:rPr>
          <w:rFonts w:hint="eastAsia" w:ascii="仿宋_GB2312" w:eastAsia="仿宋_GB2312" w:cs="仿宋_GB2312"/>
          <w:caps w:val="0"/>
          <w:color w:val="auto"/>
          <w:kern w:val="2"/>
          <w:sz w:val="32"/>
          <w:szCs w:val="32"/>
          <w:vertAlign w:val="baseline"/>
        </w:rPr>
      </w:pPr>
      <w:r>
        <w:rPr>
          <w:rFonts w:ascii="仿宋" w:hAnsi="仿宋" w:eastAsia="仿宋" w:cs="仿宋"/>
          <w:b w:val="0"/>
          <w:bCs w:val="0"/>
          <w:caps w:val="0"/>
          <w:color w:val="auto"/>
          <w:kern w:val="2"/>
          <w:sz w:val="32"/>
          <w:szCs w:val="32"/>
          <w:vertAlign w:val="baseline"/>
          <w:lang w:val="en-US" w:eastAsia="zh-CN" w:bidi="ar"/>
        </w:rPr>
        <w:t xml:space="preserve">    </w:t>
      </w:r>
      <w:r>
        <w:rPr>
          <w:rFonts w:hint="default" w:ascii="楷体" w:hAnsi="楷体" w:eastAsia="楷体" w:cs="楷体"/>
          <w:b/>
          <w:bCs/>
          <w:caps w:val="0"/>
          <w:color w:val="auto"/>
          <w:kern w:val="2"/>
          <w:sz w:val="32"/>
          <w:szCs w:val="32"/>
          <w:vertAlign w:val="baseline"/>
          <w:lang w:val="en-US" w:eastAsia="zh-CN" w:bidi="ar"/>
        </w:rPr>
        <w:t xml:space="preserve">第一条  </w:t>
      </w:r>
      <w:r>
        <w:rPr>
          <w:rFonts w:ascii="仿宋_GB2312" w:hAnsi="Calibri" w:eastAsia="仿宋_GB2312" w:cs="仿宋_GB2312"/>
          <w:b w:val="0"/>
          <w:bCs w:val="0"/>
          <w:caps w:val="0"/>
          <w:color w:val="auto"/>
          <w:kern w:val="2"/>
          <w:sz w:val="32"/>
          <w:szCs w:val="32"/>
          <w:vertAlign w:val="baseline"/>
          <w:lang w:val="en-US" w:eastAsia="zh-CN" w:bidi="ar"/>
        </w:rPr>
        <w:t>为加强和规范省级定向财力转移支付资金（以下简称“专项资金”）管理工作，切实提高专项资金使用效益，根据《四川省财政厅 四川省经济和信息化厅关于印发&lt;四川省工业发展专项资金管理办法&gt;的通知》（川财建</w:t>
      </w:r>
      <w:r>
        <w:rPr>
          <w:rFonts w:hint="eastAsia" w:ascii="宋体" w:hAnsi="宋体" w:eastAsia="宋体" w:cs="宋体"/>
          <w:b w:val="0"/>
          <w:bCs w:val="0"/>
          <w:caps w:val="0"/>
          <w:color w:val="auto"/>
          <w:kern w:val="2"/>
          <w:sz w:val="32"/>
          <w:szCs w:val="32"/>
          <w:vertAlign w:val="baseline"/>
          <w:lang w:val="en-US" w:eastAsia="zh-CN" w:bidi="ar"/>
        </w:rPr>
        <w:t>〔2019〕296号</w:t>
      </w:r>
      <w:r>
        <w:rPr>
          <w:rFonts w:hint="eastAsia" w:ascii="仿宋_GB2312" w:hAnsi="Calibri" w:eastAsia="仿宋_GB2312" w:cs="仿宋_GB2312"/>
          <w:b w:val="0"/>
          <w:bCs w:val="0"/>
          <w:caps w:val="0"/>
          <w:color w:val="auto"/>
          <w:kern w:val="2"/>
          <w:sz w:val="32"/>
          <w:szCs w:val="32"/>
          <w:vertAlign w:val="baseline"/>
          <w:lang w:val="en-US" w:eastAsia="zh-CN" w:bidi="ar"/>
        </w:rPr>
        <w:t>）《四川省经济和信息化厅关于印发&lt;四川省工业发展专项资金项目监督管理暂行办法&gt;的通知》（川经信财资</w:t>
      </w:r>
      <w:r>
        <w:rPr>
          <w:rFonts w:hint="eastAsia" w:ascii="宋体" w:hAnsi="宋体" w:eastAsia="宋体" w:cs="宋体"/>
          <w:b w:val="0"/>
          <w:bCs w:val="0"/>
          <w:caps w:val="0"/>
          <w:color w:val="auto"/>
          <w:kern w:val="2"/>
          <w:sz w:val="32"/>
          <w:szCs w:val="32"/>
          <w:vertAlign w:val="baseline"/>
          <w:lang w:val="en-US" w:eastAsia="zh-CN" w:bidi="ar"/>
        </w:rPr>
        <w:t>〔2020〕127号</w:t>
      </w:r>
      <w:r>
        <w:rPr>
          <w:rFonts w:hint="eastAsia" w:ascii="仿宋_GB2312" w:hAnsi="Calibri" w:eastAsia="仿宋_GB2312" w:cs="仿宋_GB2312"/>
          <w:b w:val="0"/>
          <w:bCs w:val="0"/>
          <w:caps w:val="0"/>
          <w:color w:val="auto"/>
          <w:kern w:val="2"/>
          <w:sz w:val="32"/>
          <w:szCs w:val="32"/>
          <w:vertAlign w:val="baseline"/>
          <w:lang w:val="en-US" w:eastAsia="zh-CN" w:bidi="ar"/>
        </w:rPr>
        <w:t>）《四川省经济和信息化厅关于印发&lt;四川省工业发展专项资金项目验收管理办法（试行）&gt;的通知》（川经信规</w:t>
      </w:r>
      <w:r>
        <w:rPr>
          <w:rFonts w:hint="eastAsia" w:ascii="宋体" w:hAnsi="宋体" w:eastAsia="宋体" w:cs="宋体"/>
          <w:b w:val="0"/>
          <w:bCs w:val="0"/>
          <w:caps w:val="0"/>
          <w:color w:val="auto"/>
          <w:kern w:val="2"/>
          <w:sz w:val="32"/>
          <w:szCs w:val="32"/>
          <w:vertAlign w:val="baseline"/>
          <w:lang w:val="en-US" w:eastAsia="zh-CN" w:bidi="ar"/>
        </w:rPr>
        <w:t>〔2022〕5号</w:t>
      </w:r>
      <w:r>
        <w:rPr>
          <w:rFonts w:hint="eastAsia" w:ascii="仿宋_GB2312" w:hAnsi="Calibri" w:eastAsia="仿宋_GB2312" w:cs="仿宋_GB2312"/>
          <w:b w:val="0"/>
          <w:bCs w:val="0"/>
          <w:caps w:val="0"/>
          <w:color w:val="auto"/>
          <w:kern w:val="2"/>
          <w:sz w:val="32"/>
          <w:szCs w:val="32"/>
          <w:vertAlign w:val="baseline"/>
          <w:lang w:val="en-US" w:eastAsia="zh-CN" w:bidi="ar"/>
        </w:rPr>
        <w:t>）》</w:t>
      </w:r>
      <w:r>
        <w:rPr>
          <w:rFonts w:hint="eastAsia" w:ascii="仿宋_GB2312" w:hAnsi="Calibri" w:eastAsia="仿宋_GB2312" w:cs="仿宋_GB2312"/>
          <w:b w:val="0"/>
          <w:bCs w:val="0"/>
          <w:caps w:val="0"/>
          <w:color w:val="auto"/>
          <w:kern w:val="2"/>
          <w:sz w:val="32"/>
          <w:szCs w:val="32"/>
          <w:u w:val="single"/>
          <w:vertAlign w:val="baseline"/>
          <w:lang w:val="en-US" w:eastAsia="zh-CN" w:bidi="ar"/>
        </w:rPr>
        <w:t>及</w:t>
      </w:r>
      <w:r>
        <w:rPr>
          <w:rFonts w:hint="eastAsia" w:ascii="仿宋_GB2312" w:hAnsi="Calibri" w:eastAsia="仿宋_GB2312" w:cs="仿宋_GB2312"/>
          <w:b w:val="0"/>
          <w:bCs w:val="0"/>
          <w:caps w:val="0"/>
          <w:color w:val="auto"/>
          <w:kern w:val="2"/>
          <w:sz w:val="32"/>
          <w:szCs w:val="32"/>
          <w:vertAlign w:val="baseline"/>
          <w:lang w:val="en-US" w:eastAsia="zh-CN" w:bidi="ar"/>
        </w:rPr>
        <w:t>《</w:t>
      </w:r>
      <w:r>
        <w:rPr>
          <w:rFonts w:hint="eastAsia" w:ascii="仿宋_GB2312" w:hAnsi="Calibri" w:eastAsia="仿宋_GB2312" w:cs="仿宋_GB2312"/>
          <w:b w:val="0"/>
          <w:bCs w:val="0"/>
          <w:caps w:val="0"/>
          <w:color w:val="auto"/>
          <w:spacing w:val="0"/>
          <w:kern w:val="2"/>
          <w:sz w:val="32"/>
          <w:szCs w:val="32"/>
          <w:vertAlign w:val="baseline"/>
          <w:lang w:val="en-US" w:eastAsia="zh-CN" w:bidi="ar"/>
        </w:rPr>
        <w:t>广元市经济和信息化局关于印发&lt;广元市工业发展专项资金项目管理办法&gt;&lt;广元市财政资金支持工业项目监督管理办法&gt;的通知》</w:t>
      </w:r>
      <w:r>
        <w:rPr>
          <w:rFonts w:hint="eastAsia" w:ascii="仿宋_GB2312" w:hAnsi="Calibri" w:eastAsia="仿宋_GB2312" w:cs="仿宋_GB2312"/>
          <w:b w:val="0"/>
          <w:bCs w:val="0"/>
          <w:caps w:val="0"/>
          <w:color w:val="auto"/>
          <w:kern w:val="2"/>
          <w:sz w:val="32"/>
          <w:szCs w:val="32"/>
          <w:vertAlign w:val="baseline"/>
          <w:lang w:val="en-US" w:eastAsia="zh-CN" w:bidi="ar"/>
        </w:rPr>
        <w:t>（广经信函〔2022〕92号）相关规定，制定本办法。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hint="eastAsia" w:ascii="仿宋_GB2312" w:eastAsia="仿宋_GB2312" w:cs="仿宋_GB2312"/>
          <w:caps w:val="0"/>
          <w:color w:val="auto"/>
          <w:kern w:val="2"/>
          <w:sz w:val="32"/>
          <w:szCs w:val="32"/>
          <w:vertAlign w:val="baseline"/>
        </w:rPr>
      </w:pPr>
      <w:r>
        <w:rPr>
          <w:rFonts w:hint="default" w:ascii="楷体" w:hAnsi="楷体" w:eastAsia="楷体" w:cs="楷体"/>
          <w:b/>
          <w:bCs/>
          <w:caps w:val="0"/>
          <w:color w:val="auto"/>
          <w:kern w:val="2"/>
          <w:sz w:val="32"/>
          <w:szCs w:val="32"/>
          <w:vertAlign w:val="baseline"/>
          <w:lang w:val="en-US" w:eastAsia="zh-CN" w:bidi="ar"/>
        </w:rPr>
        <w:t>第二条</w:t>
      </w:r>
      <w:r>
        <w:rPr>
          <w:rFonts w:hint="default" w:ascii="仿宋" w:hAnsi="仿宋" w:eastAsia="仿宋" w:cs="仿宋"/>
          <w:b w:val="0"/>
          <w:bCs w:val="0"/>
          <w:caps w:val="0"/>
          <w:color w:val="auto"/>
          <w:kern w:val="2"/>
          <w:sz w:val="32"/>
          <w:szCs w:val="32"/>
          <w:vertAlign w:val="baseline"/>
          <w:lang w:val="en-US" w:eastAsia="zh-CN" w:bidi="ar"/>
        </w:rPr>
        <w:t xml:space="preserve">  </w:t>
      </w:r>
      <w:r>
        <w:rPr>
          <w:rFonts w:hint="eastAsia" w:ascii="仿宋_GB2312" w:hAnsi="Calibri" w:eastAsia="仿宋_GB2312" w:cs="仿宋_GB2312"/>
          <w:b w:val="0"/>
          <w:bCs w:val="0"/>
          <w:caps w:val="0"/>
          <w:color w:val="auto"/>
          <w:kern w:val="2"/>
          <w:sz w:val="32"/>
          <w:szCs w:val="32"/>
          <w:vertAlign w:val="baseline"/>
          <w:lang w:val="en-US" w:eastAsia="zh-CN" w:bidi="ar"/>
        </w:rPr>
        <w:t>本办法所称省级定向财力转移支付资金项目（以下简称“专项资金项目”），是指由省级定向财力转移支付至我市，由市、县（区）经济和信息化主管部门进行再分配所支持的工业项目（企业）。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hint="eastAsia" w:ascii="仿宋_GB2312" w:eastAsia="仿宋_GB2312" w:cs="仿宋_GB2312"/>
          <w:caps w:val="0"/>
          <w:color w:val="auto"/>
          <w:kern w:val="0"/>
          <w:sz w:val="31"/>
          <w:szCs w:val="31"/>
          <w:vertAlign w:val="baseline"/>
        </w:rPr>
      </w:pPr>
      <w:r>
        <w:rPr>
          <w:rFonts w:hint="default" w:ascii="楷体" w:hAnsi="楷体" w:eastAsia="楷体" w:cs="楷体"/>
          <w:b/>
          <w:bCs/>
          <w:caps w:val="0"/>
          <w:color w:val="auto"/>
          <w:kern w:val="2"/>
          <w:sz w:val="32"/>
          <w:szCs w:val="32"/>
          <w:vertAlign w:val="baseline"/>
          <w:lang w:val="en-US" w:eastAsia="zh-CN" w:bidi="ar"/>
        </w:rPr>
        <w:t xml:space="preserve">第三条  </w:t>
      </w:r>
      <w:r>
        <w:rPr>
          <w:rFonts w:hint="eastAsia" w:ascii="仿宋_GB2312" w:hAnsi="Calibri" w:eastAsia="仿宋_GB2312" w:cs="仿宋_GB2312"/>
          <w:b w:val="0"/>
          <w:bCs w:val="0"/>
          <w:caps w:val="0"/>
          <w:color w:val="auto"/>
          <w:kern w:val="0"/>
          <w:sz w:val="31"/>
          <w:szCs w:val="31"/>
          <w:vertAlign w:val="baseline"/>
          <w:lang w:val="en-US" w:eastAsia="zh-CN" w:bidi="ar"/>
        </w:rPr>
        <w:t>专项资金分配和管理工作在</w:t>
      </w:r>
      <w:r>
        <w:rPr>
          <w:rFonts w:hint="eastAsia" w:ascii="仿宋_GB2312" w:hAnsi="Calibri" w:eastAsia="仿宋_GB2312" w:cs="仿宋_GB2312"/>
          <w:b w:val="0"/>
          <w:bCs w:val="0"/>
          <w:caps w:val="0"/>
          <w:color w:val="auto"/>
          <w:kern w:val="2"/>
          <w:sz w:val="32"/>
          <w:szCs w:val="32"/>
          <w:vertAlign w:val="baseline"/>
          <w:lang w:val="en-US" w:eastAsia="zh-CN" w:bidi="ar"/>
        </w:rPr>
        <w:t>市经济和信息化局（以下简称“市经信局”）党组</w:t>
      </w:r>
      <w:r>
        <w:rPr>
          <w:rFonts w:hint="eastAsia" w:ascii="仿宋_GB2312" w:hAnsi="Calibri" w:eastAsia="仿宋_GB2312" w:cs="仿宋_GB2312"/>
          <w:b w:val="0"/>
          <w:bCs w:val="0"/>
          <w:caps w:val="0"/>
          <w:color w:val="auto"/>
          <w:kern w:val="0"/>
          <w:sz w:val="31"/>
          <w:szCs w:val="31"/>
          <w:vertAlign w:val="baseline"/>
          <w:lang w:val="en-US" w:eastAsia="zh-CN" w:bidi="ar"/>
        </w:rPr>
        <w:t>的统一领导下，按照“属地管理、分级负责”原则进行。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hint="eastAsia" w:ascii="黑体" w:hAnsi="宋体" w:eastAsia="黑体" w:cs="黑体"/>
          <w:caps w:val="0"/>
          <w:color w:val="auto"/>
          <w:kern w:val="0"/>
          <w:sz w:val="31"/>
          <w:szCs w:val="31"/>
          <w:vertAlign w:val="baseline"/>
        </w:rPr>
      </w:pPr>
      <w:r>
        <w:rPr>
          <w:rFonts w:hint="eastAsia" w:ascii="仿宋_GB2312" w:hAnsi="Calibri" w:eastAsia="仿宋_GB2312" w:cs="仿宋_GB2312"/>
          <w:b w:val="0"/>
          <w:bCs w:val="0"/>
          <w:caps w:val="0"/>
          <w:color w:val="auto"/>
          <w:kern w:val="0"/>
          <w:sz w:val="31"/>
          <w:szCs w:val="31"/>
          <w:vertAlign w:val="baseline"/>
          <w:lang w:val="en-US" w:eastAsia="zh-CN" w:bidi="ar"/>
        </w:rPr>
        <w:t xml:space="preserve">             </w:t>
      </w:r>
      <w:r>
        <w:rPr>
          <w:rFonts w:hint="eastAsia" w:ascii="黑体" w:hAnsi="宋体" w:eastAsia="黑体" w:cs="黑体"/>
          <w:b w:val="0"/>
          <w:bCs w:val="0"/>
          <w:caps w:val="0"/>
          <w:color w:val="auto"/>
          <w:kern w:val="0"/>
          <w:sz w:val="31"/>
          <w:szCs w:val="31"/>
          <w:vertAlign w:val="baseline"/>
          <w:lang w:val="en-US" w:eastAsia="zh-CN" w:bidi="ar"/>
        </w:rPr>
        <w:t xml:space="preserve"> 第二章</w:t>
      </w:r>
      <w:r>
        <w:rPr>
          <w:rFonts w:hint="eastAsia" w:ascii="仿宋_GB2312" w:hAnsi="Calibri" w:eastAsia="仿宋_GB2312" w:cs="仿宋_GB2312"/>
          <w:b w:val="0"/>
          <w:bCs w:val="0"/>
          <w:caps w:val="0"/>
          <w:color w:val="auto"/>
          <w:kern w:val="0"/>
          <w:sz w:val="31"/>
          <w:szCs w:val="31"/>
          <w:vertAlign w:val="baseline"/>
          <w:lang w:val="en-US" w:eastAsia="zh-CN" w:bidi="ar"/>
        </w:rPr>
        <w:t xml:space="preserve">   </w:t>
      </w:r>
      <w:r>
        <w:rPr>
          <w:rFonts w:hint="eastAsia" w:ascii="黑体" w:hAnsi="宋体" w:eastAsia="黑体" w:cs="黑体"/>
          <w:b w:val="0"/>
          <w:bCs w:val="0"/>
          <w:caps w:val="0"/>
          <w:color w:val="auto"/>
          <w:kern w:val="0"/>
          <w:sz w:val="31"/>
          <w:szCs w:val="31"/>
          <w:vertAlign w:val="baseline"/>
          <w:lang w:val="en-US" w:eastAsia="zh-CN" w:bidi="ar"/>
        </w:rPr>
        <w:t>分配原则</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eastAsia" w:ascii="仿宋_GB2312" w:eastAsia="仿宋_GB2312" w:cs="仿宋_GB2312"/>
          <w:caps w:val="0"/>
          <w:color w:val="auto"/>
          <w:kern w:val="2"/>
          <w:sz w:val="32"/>
          <w:szCs w:val="32"/>
          <w:vertAlign w:val="baseline"/>
        </w:rPr>
      </w:pPr>
      <w:r>
        <w:rPr>
          <w:rFonts w:hint="default" w:ascii="楷体" w:hAnsi="楷体" w:eastAsia="楷体" w:cs="楷体"/>
          <w:b/>
          <w:bCs/>
          <w:caps w:val="0"/>
          <w:color w:val="auto"/>
          <w:kern w:val="2"/>
          <w:sz w:val="32"/>
          <w:szCs w:val="32"/>
          <w:vertAlign w:val="baseline"/>
          <w:lang w:val="en-US" w:eastAsia="zh-CN" w:bidi="ar"/>
        </w:rPr>
        <w:t xml:space="preserve">第四条  </w:t>
      </w:r>
      <w:r>
        <w:rPr>
          <w:rFonts w:hint="eastAsia" w:ascii="仿宋_GB2312" w:hAnsi="Calibri" w:eastAsia="仿宋_GB2312" w:cs="仿宋_GB2312"/>
          <w:b w:val="0"/>
          <w:bCs w:val="0"/>
          <w:caps w:val="0"/>
          <w:color w:val="auto"/>
          <w:kern w:val="2"/>
          <w:sz w:val="32"/>
          <w:szCs w:val="32"/>
          <w:vertAlign w:val="baseline"/>
          <w:lang w:val="en-US" w:eastAsia="zh-CN" w:bidi="ar"/>
        </w:rPr>
        <w:t>专项资金要严格按照规定的方向和用途，一般采用项目法、因素法、据实据效法和特定法等方式进行分配，原则上在市级层面分配落实到终端。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eastAsia" w:ascii="仿宋_GB2312" w:eastAsia="仿宋_GB2312" w:cs="仿宋_GB2312"/>
          <w:caps w:val="0"/>
          <w:color w:val="auto"/>
          <w:kern w:val="2"/>
          <w:sz w:val="32"/>
          <w:szCs w:val="32"/>
          <w:vertAlign w:val="baseline"/>
        </w:rPr>
      </w:pPr>
      <w:r>
        <w:rPr>
          <w:rFonts w:ascii="楷体_GB2312" w:hAnsi="Calibri" w:eastAsia="楷体_GB2312" w:cs="仿宋_GB2312"/>
          <w:b/>
          <w:bCs/>
          <w:caps w:val="0"/>
          <w:color w:val="auto"/>
          <w:kern w:val="2"/>
          <w:sz w:val="32"/>
          <w:szCs w:val="32"/>
          <w:vertAlign w:val="baseline"/>
          <w:lang w:val="en-US" w:eastAsia="zh-CN" w:bidi="ar"/>
        </w:rPr>
        <w:t>（一）项目法</w:t>
      </w:r>
      <w:r>
        <w:rPr>
          <w:rFonts w:hint="eastAsia" w:ascii="仿宋_GB2312" w:hAnsi="Calibri" w:eastAsia="仿宋_GB2312" w:cs="仿宋_GB2312"/>
          <w:b w:val="0"/>
          <w:bCs w:val="0"/>
          <w:caps w:val="0"/>
          <w:color w:val="auto"/>
          <w:kern w:val="2"/>
          <w:sz w:val="32"/>
          <w:szCs w:val="32"/>
          <w:vertAlign w:val="baseline"/>
          <w:lang w:val="en-US" w:eastAsia="zh-CN" w:bidi="ar"/>
        </w:rPr>
        <w:t>是指对根据资金使用方向和用途，通过公开征集、自主申报、评审核查等程序，对符合条件的项目给予资金支持。</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eastAsia" w:ascii="仿宋_GB2312" w:eastAsia="仿宋_GB2312" w:cs="仿宋_GB2312"/>
          <w:caps w:val="0"/>
          <w:color w:val="auto"/>
          <w:kern w:val="2"/>
          <w:sz w:val="32"/>
          <w:szCs w:val="32"/>
          <w:vertAlign w:val="baseline"/>
        </w:rPr>
      </w:pPr>
      <w:r>
        <w:rPr>
          <w:rFonts w:hint="eastAsia" w:ascii="楷体_GB2312" w:hAnsi="Calibri" w:eastAsia="楷体_GB2312" w:cs="仿宋_GB2312"/>
          <w:b/>
          <w:bCs/>
          <w:caps w:val="0"/>
          <w:color w:val="auto"/>
          <w:kern w:val="2"/>
          <w:sz w:val="32"/>
          <w:szCs w:val="32"/>
          <w:vertAlign w:val="baseline"/>
          <w:lang w:val="en-US" w:eastAsia="zh-CN" w:bidi="ar"/>
        </w:rPr>
        <w:t>（二）因素法</w:t>
      </w:r>
      <w:r>
        <w:rPr>
          <w:rFonts w:hint="eastAsia" w:ascii="仿宋_GB2312" w:hAnsi="Calibri" w:eastAsia="仿宋_GB2312" w:cs="仿宋_GB2312"/>
          <w:b w:val="0"/>
          <w:bCs w:val="0"/>
          <w:caps w:val="0"/>
          <w:color w:val="auto"/>
          <w:kern w:val="2"/>
          <w:sz w:val="32"/>
          <w:szCs w:val="32"/>
          <w:vertAlign w:val="baseline"/>
          <w:lang w:val="en-US" w:eastAsia="zh-CN" w:bidi="ar"/>
        </w:rPr>
        <w:t>是指综合评估各地工业运行、项目建设、企业培育、产业发展等情况，按权重下达各县（区）、广元经济技术开发区并分配到相关项目（企业）。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eastAsia" w:ascii="仿宋_GB2312" w:eastAsia="仿宋_GB2312" w:cs="仿宋_GB2312"/>
          <w:caps w:val="0"/>
          <w:color w:val="auto"/>
          <w:kern w:val="2"/>
          <w:sz w:val="32"/>
          <w:szCs w:val="32"/>
          <w:vertAlign w:val="baseline"/>
        </w:rPr>
      </w:pPr>
      <w:r>
        <w:rPr>
          <w:rFonts w:hint="eastAsia" w:ascii="楷体_GB2312" w:hAnsi="Calibri" w:eastAsia="楷体_GB2312" w:cs="仿宋_GB2312"/>
          <w:b/>
          <w:bCs/>
          <w:caps w:val="0"/>
          <w:color w:val="auto"/>
          <w:kern w:val="2"/>
          <w:sz w:val="32"/>
          <w:szCs w:val="32"/>
          <w:vertAlign w:val="baseline"/>
          <w:lang w:val="en-US" w:eastAsia="zh-CN" w:bidi="ar"/>
        </w:rPr>
        <w:t>（三）据实据效法</w:t>
      </w:r>
      <w:r>
        <w:rPr>
          <w:rFonts w:hint="eastAsia" w:ascii="仿宋_GB2312" w:hAnsi="Calibri" w:eastAsia="仿宋_GB2312" w:cs="仿宋_GB2312"/>
          <w:b w:val="0"/>
          <w:bCs w:val="0"/>
          <w:caps w:val="0"/>
          <w:color w:val="auto"/>
          <w:kern w:val="2"/>
          <w:sz w:val="32"/>
          <w:szCs w:val="32"/>
          <w:vertAlign w:val="baseline"/>
          <w:lang w:val="en-US" w:eastAsia="zh-CN" w:bidi="ar"/>
        </w:rPr>
        <w:t>适用于兑现稳步开局、首台套首批次首版次保险补偿、企业创新主体培育、激励大企业大集团跨越发展等各种奖补资金。</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eastAsia" w:ascii="仿宋_GB2312" w:eastAsia="仿宋_GB2312" w:cs="仿宋_GB2312"/>
          <w:caps w:val="0"/>
          <w:color w:val="auto"/>
          <w:kern w:val="2"/>
          <w:sz w:val="32"/>
          <w:szCs w:val="32"/>
          <w:vertAlign w:val="baseline"/>
        </w:rPr>
      </w:pPr>
      <w:r>
        <w:rPr>
          <w:rFonts w:hint="eastAsia" w:ascii="楷体_GB2312" w:hAnsi="Calibri" w:eastAsia="楷体_GB2312" w:cs="仿宋_GB2312"/>
          <w:b/>
          <w:bCs/>
          <w:caps w:val="0"/>
          <w:color w:val="auto"/>
          <w:kern w:val="2"/>
          <w:sz w:val="32"/>
          <w:szCs w:val="32"/>
          <w:vertAlign w:val="baseline"/>
          <w:lang w:val="en-US" w:eastAsia="zh-CN" w:bidi="ar"/>
        </w:rPr>
        <w:t>（四）特定法</w:t>
      </w:r>
      <w:r>
        <w:rPr>
          <w:rFonts w:hint="eastAsia" w:ascii="仿宋_GB2312" w:hAnsi="Calibri" w:eastAsia="仿宋_GB2312" w:cs="仿宋_GB2312"/>
          <w:b w:val="0"/>
          <w:bCs w:val="0"/>
          <w:caps w:val="0"/>
          <w:color w:val="auto"/>
          <w:kern w:val="2"/>
          <w:sz w:val="32"/>
          <w:szCs w:val="32"/>
          <w:vertAlign w:val="baseline"/>
          <w:lang w:val="en-US" w:eastAsia="zh-CN" w:bidi="ar"/>
        </w:rPr>
        <w:t>适用于应急抢险救灾及上级党委、政府和主管部门确定的其他事项。</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黑体" w:hAnsi="宋体" w:eastAsia="黑体" w:cs="黑体"/>
          <w:caps w:val="0"/>
          <w:color w:val="auto"/>
          <w:kern w:val="2"/>
          <w:sz w:val="32"/>
          <w:szCs w:val="32"/>
          <w:vertAlign w:val="baseline"/>
        </w:rPr>
      </w:pPr>
      <w:r>
        <w:rPr>
          <w:rFonts w:hint="eastAsia" w:ascii="黑体" w:hAnsi="宋体" w:eastAsia="黑体" w:cs="黑体"/>
          <w:b w:val="0"/>
          <w:bCs w:val="0"/>
          <w:caps w:val="0"/>
          <w:color w:val="auto"/>
          <w:kern w:val="2"/>
          <w:sz w:val="32"/>
          <w:szCs w:val="32"/>
          <w:vertAlign w:val="baseline"/>
          <w:lang w:val="en-US" w:eastAsia="zh-CN" w:bidi="ar"/>
        </w:rPr>
        <w:t>第三章   职责分工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eastAsia" w:ascii="仿宋_GB2312" w:eastAsia="仿宋_GB2312" w:cs="仿宋_GB2312"/>
          <w:caps w:val="0"/>
          <w:color w:val="auto"/>
          <w:kern w:val="2"/>
          <w:sz w:val="32"/>
          <w:szCs w:val="32"/>
          <w:vertAlign w:val="baseline"/>
        </w:rPr>
      </w:pPr>
      <w:r>
        <w:rPr>
          <w:rFonts w:hint="default" w:ascii="楷体" w:hAnsi="楷体" w:eastAsia="楷体" w:cs="楷体"/>
          <w:b/>
          <w:bCs/>
          <w:caps w:val="0"/>
          <w:color w:val="auto"/>
          <w:kern w:val="2"/>
          <w:sz w:val="32"/>
          <w:szCs w:val="32"/>
          <w:vertAlign w:val="baseline"/>
          <w:lang w:val="en-US" w:eastAsia="zh-CN" w:bidi="ar"/>
        </w:rPr>
        <w:t>第五条</w:t>
      </w:r>
      <w:r>
        <w:rPr>
          <w:rFonts w:hint="eastAsia" w:ascii="黑体" w:hAnsi="宋体" w:eastAsia="黑体" w:cs="黑体"/>
          <w:b w:val="0"/>
          <w:bCs w:val="0"/>
          <w:caps w:val="0"/>
          <w:color w:val="auto"/>
          <w:kern w:val="2"/>
          <w:sz w:val="32"/>
          <w:szCs w:val="32"/>
          <w:vertAlign w:val="baseline"/>
          <w:lang w:val="en-US" w:eastAsia="zh-CN" w:bidi="ar"/>
        </w:rPr>
        <w:t xml:space="preserve"> </w:t>
      </w:r>
      <w:r>
        <w:rPr>
          <w:rFonts w:hint="eastAsia" w:ascii="仿宋_GB2312" w:hAnsi="Calibri" w:eastAsia="仿宋_GB2312" w:cs="仿宋_GB2312"/>
          <w:b w:val="0"/>
          <w:bCs w:val="0"/>
          <w:caps w:val="0"/>
          <w:color w:val="auto"/>
          <w:kern w:val="2"/>
          <w:sz w:val="32"/>
          <w:szCs w:val="32"/>
          <w:vertAlign w:val="baseline"/>
          <w:lang w:val="en-US" w:eastAsia="zh-CN" w:bidi="ar"/>
        </w:rPr>
        <w:t>市经信局</w:t>
      </w:r>
      <w:r>
        <w:rPr>
          <w:rFonts w:hint="eastAsia" w:ascii="仿宋_GB2312" w:hAnsi="Calibri" w:eastAsia="仿宋_GB2312" w:cs="仿宋_GB2312"/>
          <w:b w:val="0"/>
          <w:bCs w:val="0"/>
          <w:caps w:val="0"/>
          <w:color w:val="auto"/>
          <w:kern w:val="0"/>
          <w:sz w:val="31"/>
          <w:szCs w:val="31"/>
          <w:vertAlign w:val="baseline"/>
          <w:lang w:val="en-US" w:eastAsia="zh-CN" w:bidi="ar"/>
        </w:rPr>
        <w:t>专项资金管理科室</w:t>
      </w:r>
      <w:r>
        <w:rPr>
          <w:rFonts w:hint="eastAsia" w:ascii="仿宋_GB2312" w:hAnsi="Calibri" w:eastAsia="仿宋_GB2312" w:cs="仿宋_GB2312"/>
          <w:b w:val="0"/>
          <w:bCs w:val="0"/>
          <w:caps w:val="0"/>
          <w:color w:val="auto"/>
          <w:kern w:val="2"/>
          <w:sz w:val="32"/>
          <w:szCs w:val="32"/>
          <w:vertAlign w:val="baseline"/>
          <w:lang w:val="en-US" w:eastAsia="zh-CN" w:bidi="ar"/>
        </w:rPr>
        <w:t>按照专项资金使用方向提出支持重点、分配原则，编制并发布项目征集指南（工作方案），组织各县（区）、广元经济技术开发区经济和信息化主管部门进行项目（企业）申报和初审推荐、拟定评审方案、对拟支持项目（企业）进行重复性审查、抽取评审专家、现场核查、公示、提出分配建议方案、上报审批、协调资金拨付等工作，对专项资金项目进行跟踪监督管理和验收，对未按期实施、调整变更等商市财政局提出处置意见建议。</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eastAsia" w:ascii="仿宋_GB2312" w:eastAsia="仿宋_GB2312" w:cs="仿宋_GB2312"/>
          <w:caps w:val="0"/>
          <w:color w:val="auto"/>
          <w:kern w:val="2"/>
          <w:sz w:val="32"/>
          <w:szCs w:val="32"/>
          <w:vertAlign w:val="baseline"/>
        </w:rPr>
      </w:pPr>
      <w:r>
        <w:rPr>
          <w:rFonts w:hint="default" w:ascii="楷体" w:hAnsi="楷体" w:eastAsia="楷体" w:cs="楷体"/>
          <w:b/>
          <w:bCs/>
          <w:caps w:val="0"/>
          <w:color w:val="auto"/>
          <w:kern w:val="2"/>
          <w:sz w:val="32"/>
          <w:szCs w:val="32"/>
          <w:vertAlign w:val="baseline"/>
          <w:lang w:val="en-US" w:eastAsia="zh-CN" w:bidi="ar"/>
        </w:rPr>
        <w:t>第六条</w:t>
      </w:r>
      <w:r>
        <w:rPr>
          <w:rFonts w:hint="eastAsia" w:ascii="仿宋_GB2312" w:hAnsi="Calibri" w:eastAsia="仿宋_GB2312" w:cs="仿宋_GB2312"/>
          <w:b w:val="0"/>
          <w:bCs w:val="0"/>
          <w:caps w:val="0"/>
          <w:color w:val="auto"/>
          <w:kern w:val="2"/>
          <w:sz w:val="32"/>
          <w:szCs w:val="32"/>
          <w:vertAlign w:val="baseline"/>
          <w:lang w:val="en-US" w:eastAsia="zh-CN" w:bidi="ar"/>
        </w:rPr>
        <w:t xml:space="preserve">   市经信局监督审计科全程参与监督指导征集指南（工作方案）起草、评审方案拟定、项目评审核实、资金分配建议等专项资金分配过程。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eastAsia" w:ascii="仿宋_GB2312" w:eastAsia="仿宋_GB2312" w:cs="仿宋_GB2312"/>
          <w:caps w:val="0"/>
          <w:color w:val="auto"/>
          <w:kern w:val="2"/>
          <w:sz w:val="32"/>
          <w:szCs w:val="32"/>
          <w:vertAlign w:val="baseline"/>
        </w:rPr>
      </w:pPr>
      <w:r>
        <w:rPr>
          <w:rFonts w:hint="default" w:ascii="楷体" w:hAnsi="楷体" w:eastAsia="楷体" w:cs="楷体"/>
          <w:b/>
          <w:bCs/>
          <w:caps w:val="0"/>
          <w:color w:val="auto"/>
          <w:kern w:val="2"/>
          <w:sz w:val="32"/>
          <w:szCs w:val="32"/>
          <w:vertAlign w:val="baseline"/>
          <w:lang w:val="en-US" w:eastAsia="zh-CN" w:bidi="ar"/>
        </w:rPr>
        <w:t xml:space="preserve">第七条 </w:t>
      </w:r>
      <w:r>
        <w:rPr>
          <w:rFonts w:hint="eastAsia" w:ascii="仿宋_GB2312" w:hAnsi="Calibri" w:eastAsia="仿宋_GB2312" w:cs="仿宋_GB2312"/>
          <w:b w:val="0"/>
          <w:bCs w:val="0"/>
          <w:caps w:val="0"/>
          <w:color w:val="auto"/>
          <w:kern w:val="2"/>
          <w:sz w:val="32"/>
          <w:szCs w:val="32"/>
          <w:vertAlign w:val="baseline"/>
          <w:lang w:val="en-US" w:eastAsia="zh-CN" w:bidi="ar"/>
        </w:rPr>
        <w:t xml:space="preserve">  各县（区）、广元经济技术开发区经济和信息化主管部门根据市经信局发布的征集指南（工作方案），公开组织仅、审核推荐符合条件的项目（企业）进行申报，在资金下达后做好跟踪监督管理。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黑体" w:hAnsi="宋体" w:eastAsia="黑体" w:cs="黑体"/>
          <w:caps w:val="0"/>
          <w:color w:val="auto"/>
          <w:kern w:val="2"/>
          <w:sz w:val="32"/>
          <w:szCs w:val="32"/>
          <w:vertAlign w:val="baseline"/>
        </w:rPr>
      </w:pPr>
      <w:r>
        <w:rPr>
          <w:rFonts w:hint="eastAsia" w:ascii="黑体" w:hAnsi="宋体" w:eastAsia="黑体" w:cs="黑体"/>
          <w:b w:val="0"/>
          <w:bCs w:val="0"/>
          <w:caps w:val="0"/>
          <w:color w:val="auto"/>
          <w:kern w:val="2"/>
          <w:sz w:val="32"/>
          <w:szCs w:val="32"/>
          <w:vertAlign w:val="baseline"/>
          <w:lang w:val="en-US" w:eastAsia="zh-CN" w:bidi="ar"/>
        </w:rPr>
        <w:t>第四章   工作程序及内容</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eastAsia" w:ascii="仿宋_GB2312" w:eastAsia="仿宋_GB2312" w:cs="仿宋_GB2312"/>
          <w:caps w:val="0"/>
          <w:color w:val="auto"/>
          <w:kern w:val="0"/>
          <w:sz w:val="31"/>
          <w:szCs w:val="31"/>
          <w:vertAlign w:val="baseline"/>
        </w:rPr>
      </w:pPr>
      <w:r>
        <w:rPr>
          <w:rFonts w:hint="default" w:ascii="楷体" w:hAnsi="楷体" w:eastAsia="楷体" w:cs="楷体"/>
          <w:b/>
          <w:bCs/>
          <w:caps w:val="0"/>
          <w:color w:val="auto"/>
          <w:kern w:val="2"/>
          <w:sz w:val="32"/>
          <w:szCs w:val="32"/>
          <w:vertAlign w:val="baseline"/>
          <w:lang w:val="en-US" w:eastAsia="zh-CN" w:bidi="ar"/>
        </w:rPr>
        <w:t>第八条</w:t>
      </w:r>
      <w:r>
        <w:rPr>
          <w:rFonts w:hint="default" w:ascii="仿宋" w:hAnsi="仿宋" w:eastAsia="仿宋" w:cs="仿宋"/>
          <w:b w:val="0"/>
          <w:bCs w:val="0"/>
          <w:caps w:val="0"/>
          <w:color w:val="auto"/>
          <w:kern w:val="2"/>
          <w:sz w:val="32"/>
          <w:szCs w:val="32"/>
          <w:vertAlign w:val="baseline"/>
          <w:lang w:val="en-US" w:eastAsia="zh-CN" w:bidi="ar"/>
        </w:rPr>
        <w:t xml:space="preserve">  </w:t>
      </w:r>
      <w:r>
        <w:rPr>
          <w:rFonts w:hint="eastAsia" w:ascii="仿宋_GB2312" w:hAnsi="Calibri" w:eastAsia="仿宋_GB2312" w:cs="仿宋_GB2312"/>
          <w:b w:val="0"/>
          <w:bCs w:val="0"/>
          <w:caps w:val="0"/>
          <w:color w:val="auto"/>
          <w:kern w:val="0"/>
          <w:sz w:val="31"/>
          <w:szCs w:val="31"/>
          <w:vertAlign w:val="baseline"/>
          <w:lang w:val="en-US" w:eastAsia="zh-CN" w:bidi="ar"/>
        </w:rPr>
        <w:t>项目申报。采用项目法分配的专项资金，申报单位按照市经信局发布的征集指南和要求，向属地经济和信息化主管部门申报。项目申报单位对申报项目的真实性、不重复性和申报要件的合规性、完整性负主体责任，并出具真实性合规性承诺书。如发现项目申报单位有弄虚作假行为，一经核实，3年内不得申报各级工业项目资金。</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default" w:ascii="仿宋" w:hAnsi="仿宋" w:eastAsia="仿宋" w:cs="仿宋"/>
          <w:caps w:val="0"/>
          <w:color w:val="auto"/>
          <w:kern w:val="2"/>
          <w:sz w:val="32"/>
          <w:szCs w:val="32"/>
          <w:vertAlign w:val="baseline"/>
        </w:rPr>
      </w:pPr>
      <w:r>
        <w:rPr>
          <w:rFonts w:hint="default" w:ascii="楷体" w:hAnsi="楷体" w:eastAsia="楷体" w:cs="楷体"/>
          <w:b/>
          <w:bCs/>
          <w:caps w:val="0"/>
          <w:color w:val="auto"/>
          <w:kern w:val="2"/>
          <w:sz w:val="32"/>
          <w:szCs w:val="32"/>
          <w:vertAlign w:val="baseline"/>
          <w:lang w:val="en-US" w:eastAsia="zh-CN" w:bidi="ar"/>
        </w:rPr>
        <w:t xml:space="preserve">第九条  </w:t>
      </w:r>
      <w:r>
        <w:rPr>
          <w:rFonts w:hint="eastAsia" w:ascii="仿宋_GB2312" w:hAnsi="Calibri" w:eastAsia="仿宋_GB2312" w:cs="仿宋_GB2312"/>
          <w:b w:val="0"/>
          <w:bCs w:val="0"/>
          <w:caps w:val="0"/>
          <w:color w:val="auto"/>
          <w:kern w:val="0"/>
          <w:sz w:val="31"/>
          <w:szCs w:val="31"/>
          <w:vertAlign w:val="baseline"/>
          <w:lang w:val="en-US" w:eastAsia="zh-CN" w:bidi="ar"/>
        </w:rPr>
        <w:t>审核推荐。各县（区）、广元经济技术开发区经济和信息化主管部门联合同级财政部门对申报单位所申报内容进行资料审查和现场查验,并出具初审意见。资料审查的重点在项目立项批复文件、申报资料的真实性、非重复性、申报要件的合规性、完整性。在建项目现场查验的重点在项目真实性、建设进度、投资情况、资金来源保障、审批手续、预期绩效（经济效益、社会效益、环境效益）等。竣工投产项目现场的重点在项目真实性、竣工验收手续、生产经营、综合效益等。通过资料审查和现场查验的项目，行文推荐上报至市经信局，同步抄送市财政局。推荐文件应明确推荐意见，并附项目核实表（附件1，一项目一张）</w:t>
      </w:r>
      <w:r>
        <w:rPr>
          <w:rFonts w:hint="default" w:ascii="仿宋" w:hAnsi="仿宋" w:eastAsia="仿宋" w:cs="仿宋"/>
          <w:b w:val="0"/>
          <w:bCs w:val="0"/>
          <w:caps w:val="0"/>
          <w:color w:val="auto"/>
          <w:kern w:val="2"/>
          <w:sz w:val="32"/>
          <w:szCs w:val="32"/>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eastAsia" w:ascii="仿宋_GB2312" w:eastAsia="仿宋_GB2312" w:cs="仿宋_GB2312"/>
          <w:caps w:val="0"/>
          <w:color w:val="auto"/>
          <w:kern w:val="0"/>
          <w:sz w:val="31"/>
          <w:szCs w:val="31"/>
          <w:vertAlign w:val="baseline"/>
        </w:rPr>
      </w:pPr>
      <w:r>
        <w:rPr>
          <w:rFonts w:hint="default" w:ascii="楷体" w:hAnsi="楷体" w:eastAsia="楷体" w:cs="楷体"/>
          <w:b/>
          <w:bCs/>
          <w:caps w:val="0"/>
          <w:color w:val="auto"/>
          <w:kern w:val="2"/>
          <w:sz w:val="32"/>
          <w:szCs w:val="32"/>
          <w:vertAlign w:val="baseline"/>
          <w:lang w:val="en-US" w:eastAsia="zh-CN" w:bidi="ar"/>
        </w:rPr>
        <w:t xml:space="preserve">第十条 </w:t>
      </w:r>
      <w:r>
        <w:rPr>
          <w:rFonts w:hint="eastAsia" w:ascii="仿宋_GB2312" w:hAnsi="Calibri" w:eastAsia="仿宋_GB2312" w:cs="仿宋_GB2312"/>
          <w:b w:val="0"/>
          <w:bCs w:val="0"/>
          <w:caps w:val="0"/>
          <w:color w:val="auto"/>
          <w:kern w:val="0"/>
          <w:sz w:val="31"/>
          <w:szCs w:val="31"/>
          <w:vertAlign w:val="baseline"/>
          <w:lang w:val="en-US" w:eastAsia="zh-CN" w:bidi="ar"/>
        </w:rPr>
        <w:t>评审核查。市经信局专项资金管理科室制定项目评审方案，抽取专家开展资料评审及现场核查。评审及核查应符合资金支持的方向和重点，并综合考虑项目实际投资、技术先进性、产业示范带动性等情况，制定评分细则及评分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hint="eastAsia" w:ascii="仿宋_GB2312" w:eastAsia="仿宋_GB2312" w:cs="仿宋_GB2312"/>
          <w:caps w:val="0"/>
          <w:color w:val="auto"/>
          <w:kern w:val="0"/>
          <w:sz w:val="31"/>
          <w:szCs w:val="31"/>
          <w:vertAlign w:val="baseline"/>
        </w:rPr>
      </w:pPr>
      <w:r>
        <w:rPr>
          <w:rFonts w:hint="eastAsia" w:ascii="仿宋_GB2312" w:hAnsi="Calibri" w:eastAsia="仿宋_GB2312" w:cs="仿宋_GB2312"/>
          <w:b w:val="0"/>
          <w:bCs w:val="0"/>
          <w:caps w:val="0"/>
          <w:color w:val="auto"/>
          <w:kern w:val="0"/>
          <w:sz w:val="31"/>
          <w:szCs w:val="31"/>
          <w:vertAlign w:val="baseline"/>
          <w:lang w:val="en-US" w:eastAsia="zh-CN" w:bidi="ar"/>
        </w:rPr>
        <w:t>评审及核查采取专家组组长负责制，由专家组组长组织专家独立、客观、公正的开展评价工作。评审核查结束后，专家组须出具评审意见及现场核查意见，给予明确结论并承担相应责任。</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20" w:firstLineChars="200"/>
        <w:jc w:val="left"/>
        <w:outlineLvl w:val="9"/>
        <w:rPr>
          <w:rFonts w:hint="default" w:ascii="仿宋" w:hAnsi="仿宋" w:eastAsia="仿宋" w:cs="仿宋"/>
          <w:caps w:val="0"/>
          <w:color w:val="auto"/>
          <w:kern w:val="2"/>
          <w:sz w:val="32"/>
          <w:szCs w:val="32"/>
          <w:vertAlign w:val="baseline"/>
        </w:rPr>
      </w:pPr>
      <w:r>
        <w:rPr>
          <w:rFonts w:hint="eastAsia" w:ascii="仿宋_GB2312" w:hAnsi="Calibri" w:eastAsia="仿宋_GB2312" w:cs="仿宋_GB2312"/>
          <w:b w:val="0"/>
          <w:bCs w:val="0"/>
          <w:caps w:val="0"/>
          <w:color w:val="auto"/>
          <w:kern w:val="0"/>
          <w:sz w:val="31"/>
          <w:szCs w:val="31"/>
          <w:vertAlign w:val="baseline"/>
          <w:lang w:val="en-US" w:eastAsia="zh-CN" w:bidi="ar"/>
        </w:rPr>
        <w:t>市经信局专项资金管理科室根据评审核查情况，提出拟支持项目（企业）名单，在市经信局门户网站进行公示，公示期不少于5个工作日。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eastAsia" w:ascii="仿宋_GB2312" w:eastAsia="仿宋_GB2312" w:cs="仿宋_GB2312"/>
          <w:caps w:val="0"/>
          <w:color w:val="auto"/>
          <w:kern w:val="2"/>
          <w:sz w:val="32"/>
          <w:szCs w:val="32"/>
          <w:vertAlign w:val="baseline"/>
        </w:rPr>
      </w:pPr>
      <w:r>
        <w:rPr>
          <w:rFonts w:hint="default" w:ascii="楷体" w:hAnsi="楷体" w:eastAsia="楷体" w:cs="楷体"/>
          <w:b/>
          <w:bCs/>
          <w:caps w:val="0"/>
          <w:color w:val="auto"/>
          <w:kern w:val="2"/>
          <w:sz w:val="32"/>
          <w:szCs w:val="32"/>
          <w:vertAlign w:val="baseline"/>
          <w:lang w:val="en-US" w:eastAsia="zh-CN" w:bidi="ar"/>
        </w:rPr>
        <w:t xml:space="preserve">第十一条  </w:t>
      </w:r>
      <w:r>
        <w:rPr>
          <w:rFonts w:hint="eastAsia" w:ascii="仿宋_GB2312" w:hAnsi="Calibri" w:eastAsia="仿宋_GB2312" w:cs="仿宋_GB2312"/>
          <w:b w:val="0"/>
          <w:bCs w:val="0"/>
          <w:caps w:val="0"/>
          <w:color w:val="auto"/>
          <w:kern w:val="2"/>
          <w:sz w:val="32"/>
          <w:szCs w:val="32"/>
          <w:vertAlign w:val="baseline"/>
          <w:lang w:val="en-US" w:eastAsia="zh-CN" w:bidi="ar"/>
        </w:rPr>
        <w:t>资金分配。市经信局专项资金管理科室根据待分配资金总额、项目评审得分、项目实际投资等因素提出资金分配建议方案。原则上按照专家评分、项目实际投资各占50%的权重分配资金。分配建议方案经市经信局党组审议后，按规定报审并协调下达资金。</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left"/>
        <w:outlineLvl w:val="9"/>
        <w:rPr>
          <w:rFonts w:hint="eastAsia" w:ascii="仿宋_GB2312" w:eastAsia="仿宋_GB2312" w:cs="仿宋_GB2312"/>
          <w:caps w:val="0"/>
          <w:color w:val="auto"/>
          <w:kern w:val="2"/>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 xml:space="preserve">     资金额度=待分配资金总额*50%/入围项目总得分*该项目得分+待分配资金总额*50%/入围项目投资总额*该项目投资额</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eastAsia" w:ascii="仿宋_GB2312" w:eastAsia="仿宋_GB2312" w:cs="仿宋_GB2312"/>
          <w:caps w:val="0"/>
          <w:color w:val="auto"/>
          <w:kern w:val="2"/>
          <w:sz w:val="32"/>
          <w:szCs w:val="32"/>
          <w:u w:val="single"/>
          <w:vertAlign w:val="baseline"/>
        </w:rPr>
      </w:pPr>
      <w:r>
        <w:rPr>
          <w:rFonts w:hint="default" w:ascii="楷体" w:hAnsi="楷体" w:eastAsia="楷体" w:cs="楷体"/>
          <w:b/>
          <w:bCs/>
          <w:caps w:val="0"/>
          <w:color w:val="auto"/>
          <w:kern w:val="2"/>
          <w:sz w:val="32"/>
          <w:szCs w:val="32"/>
          <w:vertAlign w:val="baseline"/>
          <w:lang w:val="en-US" w:eastAsia="zh-CN" w:bidi="ar"/>
        </w:rPr>
        <w:t>第十二条</w:t>
      </w:r>
      <w:r>
        <w:rPr>
          <w:rFonts w:hint="default" w:ascii="仿宋" w:hAnsi="仿宋" w:eastAsia="仿宋" w:cs="仿宋"/>
          <w:b w:val="0"/>
          <w:bCs w:val="0"/>
          <w:caps w:val="0"/>
          <w:color w:val="auto"/>
          <w:kern w:val="2"/>
          <w:sz w:val="32"/>
          <w:szCs w:val="32"/>
          <w:vertAlign w:val="baseline"/>
          <w:lang w:val="en-US" w:eastAsia="zh-CN" w:bidi="ar"/>
        </w:rPr>
        <w:t xml:space="preserve">  </w:t>
      </w:r>
      <w:r>
        <w:rPr>
          <w:rFonts w:hint="eastAsia" w:ascii="仿宋_GB2312" w:hAnsi="Calibri" w:eastAsia="仿宋_GB2312" w:cs="仿宋_GB2312"/>
          <w:b w:val="0"/>
          <w:bCs w:val="0"/>
          <w:caps w:val="0"/>
          <w:color w:val="auto"/>
          <w:kern w:val="2"/>
          <w:sz w:val="32"/>
          <w:szCs w:val="32"/>
          <w:vertAlign w:val="baseline"/>
          <w:lang w:val="en-US" w:eastAsia="zh-CN" w:bidi="ar"/>
        </w:rPr>
        <w:t xml:space="preserve">采取因素法、据实据效法、特定法等分配的专项资金，专项资金管理科室根据资金使用要求制定工作方案。各县（区）、广元经济技术开发区经济和信息化主管部门按照工作方案推荐上报符合条件的项目（企业），并对推荐项目（企业）资料的真实性、合法性负责。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left"/>
        <w:outlineLvl w:val="9"/>
        <w:rPr>
          <w:rFonts w:hint="eastAsia" w:ascii="仿宋_GB2312" w:eastAsia="仿宋_GB2312" w:cs="仿宋_GB2312"/>
          <w:caps w:val="0"/>
          <w:color w:val="auto"/>
          <w:kern w:val="2"/>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专项资金管理科室对各县（区）、广元经济技术开发区经济和信息化主管部门推荐上报的项目（企业）资料进行审核，必要时可开展现场核查。经审核后，提出资金分配建议方案，经市经信局党组审议后，在市经信局门户网站进行公示，公示期不少于5个工作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eastAsia" w:ascii="仿宋_GB2312" w:eastAsia="仿宋_GB2312" w:cs="仿宋_GB2312"/>
          <w:caps w:val="0"/>
          <w:color w:val="auto"/>
          <w:kern w:val="2"/>
          <w:sz w:val="32"/>
          <w:szCs w:val="32"/>
          <w:vertAlign w:val="baseline"/>
        </w:rPr>
      </w:pPr>
      <w:r>
        <w:rPr>
          <w:rFonts w:hint="default" w:ascii="楷体" w:hAnsi="楷体" w:eastAsia="楷体" w:cs="楷体"/>
          <w:b/>
          <w:bCs/>
          <w:caps w:val="0"/>
          <w:color w:val="auto"/>
          <w:kern w:val="2"/>
          <w:sz w:val="32"/>
          <w:szCs w:val="32"/>
          <w:vertAlign w:val="baseline"/>
          <w:lang w:val="en-US" w:eastAsia="zh-CN" w:bidi="ar"/>
        </w:rPr>
        <w:t>第十三条</w:t>
      </w:r>
      <w:r>
        <w:rPr>
          <w:rFonts w:hint="default" w:ascii="仿宋" w:hAnsi="仿宋" w:eastAsia="仿宋" w:cs="仿宋"/>
          <w:b w:val="0"/>
          <w:bCs w:val="0"/>
          <w:caps w:val="0"/>
          <w:color w:val="auto"/>
          <w:kern w:val="2"/>
          <w:sz w:val="32"/>
          <w:szCs w:val="32"/>
          <w:vertAlign w:val="baseline"/>
          <w:lang w:val="en-US" w:eastAsia="zh-CN" w:bidi="ar"/>
        </w:rPr>
        <w:t xml:space="preserve"> </w:t>
      </w:r>
      <w:r>
        <w:rPr>
          <w:rFonts w:hint="eastAsia" w:ascii="仿宋_GB2312" w:hAnsi="Calibri" w:eastAsia="仿宋_GB2312" w:cs="仿宋_GB2312"/>
          <w:b w:val="0"/>
          <w:bCs w:val="0"/>
          <w:caps w:val="0"/>
          <w:color w:val="auto"/>
          <w:kern w:val="2"/>
          <w:sz w:val="32"/>
          <w:szCs w:val="32"/>
          <w:vertAlign w:val="baseline"/>
          <w:lang w:val="en-US" w:eastAsia="zh-CN" w:bidi="ar"/>
        </w:rPr>
        <w:t>资金下达。专项资金管理科室须及时协调市财政局下达资金计划。各县（区）、广元经济技术开发区经济和信息化主管部门要加强与同级财政部门的衔接，协调财政部门及时、合规将专项资金拨付至项目单位。</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left"/>
        <w:outlineLvl w:val="9"/>
        <w:rPr>
          <w:rFonts w:hint="eastAsia" w:ascii="仿宋_GB2312" w:eastAsia="仿宋_GB2312" w:cs="仿宋_GB2312"/>
          <w:caps w:val="0"/>
          <w:color w:val="auto"/>
          <w:kern w:val="2"/>
          <w:sz w:val="32"/>
          <w:szCs w:val="32"/>
          <w:vertAlign w:val="baseline"/>
        </w:rPr>
      </w:pPr>
      <w:r>
        <w:rPr>
          <w:rFonts w:hint="default" w:ascii="楷体" w:hAnsi="楷体" w:eastAsia="楷体" w:cs="楷体"/>
          <w:b/>
          <w:bCs/>
          <w:caps w:val="0"/>
          <w:color w:val="auto"/>
          <w:kern w:val="2"/>
          <w:sz w:val="32"/>
          <w:szCs w:val="32"/>
          <w:vertAlign w:val="baseline"/>
          <w:lang w:val="en-US" w:eastAsia="zh-CN" w:bidi="ar"/>
        </w:rPr>
        <w:t xml:space="preserve">    第十四条</w:t>
      </w:r>
      <w:r>
        <w:rPr>
          <w:rFonts w:hint="default" w:ascii="仿宋" w:hAnsi="仿宋" w:eastAsia="仿宋" w:cs="仿宋"/>
          <w:b w:val="0"/>
          <w:bCs w:val="0"/>
          <w:caps w:val="0"/>
          <w:color w:val="auto"/>
          <w:kern w:val="2"/>
          <w:sz w:val="32"/>
          <w:szCs w:val="32"/>
          <w:vertAlign w:val="baseline"/>
          <w:lang w:val="en-US" w:eastAsia="zh-CN" w:bidi="ar"/>
        </w:rPr>
        <w:t xml:space="preserve"> </w:t>
      </w:r>
      <w:r>
        <w:rPr>
          <w:rFonts w:hint="eastAsia" w:ascii="仿宋_GB2312" w:hAnsi="Calibri" w:eastAsia="仿宋_GB2312" w:cs="仿宋_GB2312"/>
          <w:b w:val="0"/>
          <w:bCs w:val="0"/>
          <w:caps w:val="0"/>
          <w:color w:val="auto"/>
          <w:kern w:val="2"/>
          <w:sz w:val="32"/>
          <w:szCs w:val="32"/>
          <w:vertAlign w:val="baseline"/>
          <w:lang w:val="en-US" w:eastAsia="zh-CN" w:bidi="ar"/>
        </w:rPr>
        <w:t>监督管理。专项资金项目的日常监督管理、建设内容的调整变更、项目验收等按照《</w:t>
      </w:r>
      <w:r>
        <w:rPr>
          <w:rFonts w:hint="eastAsia" w:ascii="仿宋_GB2312" w:hAnsi="Calibri" w:eastAsia="仿宋_GB2312" w:cs="仿宋_GB2312"/>
          <w:b w:val="0"/>
          <w:bCs w:val="0"/>
          <w:caps w:val="0"/>
          <w:color w:val="auto"/>
          <w:spacing w:val="0"/>
          <w:kern w:val="2"/>
          <w:sz w:val="32"/>
          <w:szCs w:val="32"/>
          <w:vertAlign w:val="baseline"/>
          <w:lang w:val="en-US" w:eastAsia="zh-CN" w:bidi="ar"/>
        </w:rPr>
        <w:t>广元市经济和信息化局关于印发&lt;广元市工业发展专项资金项目管理办法&gt;&lt;广元市财政资金支持工业项目监督管理办法&gt;&lt;广元市工业和中小企业发展资金项目专家库管理办法&gt;的通知》</w:t>
      </w:r>
      <w:r>
        <w:rPr>
          <w:rFonts w:hint="eastAsia" w:ascii="仿宋_GB2312" w:hAnsi="Calibri" w:eastAsia="仿宋_GB2312" w:cs="仿宋_GB2312"/>
          <w:b w:val="0"/>
          <w:bCs w:val="0"/>
          <w:caps w:val="0"/>
          <w:color w:val="auto"/>
          <w:kern w:val="2"/>
          <w:sz w:val="32"/>
          <w:szCs w:val="32"/>
          <w:vertAlign w:val="baseline"/>
          <w:lang w:val="en-US" w:eastAsia="zh-CN" w:bidi="ar"/>
        </w:rPr>
        <w:t>（广经信函〔2022〕92号）有关规定执行。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黑体" w:hAnsi="宋体" w:eastAsia="黑体" w:cs="黑体"/>
          <w:caps w:val="0"/>
          <w:color w:val="auto"/>
          <w:kern w:val="2"/>
          <w:sz w:val="32"/>
          <w:szCs w:val="32"/>
          <w:vertAlign w:val="baseline"/>
        </w:rPr>
      </w:pPr>
      <w:r>
        <w:rPr>
          <w:rFonts w:hint="eastAsia" w:ascii="黑体" w:hAnsi="宋体" w:eastAsia="黑体" w:cs="黑体"/>
          <w:b w:val="0"/>
          <w:bCs w:val="0"/>
          <w:caps w:val="0"/>
          <w:color w:val="auto"/>
          <w:kern w:val="2"/>
          <w:sz w:val="32"/>
          <w:szCs w:val="32"/>
          <w:vertAlign w:val="baseline"/>
          <w:lang w:val="en-US" w:eastAsia="zh-CN" w:bidi="ar"/>
        </w:rPr>
        <w:t>第五章  附则</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default" w:ascii="仿宋" w:hAnsi="仿宋" w:eastAsia="仿宋" w:cs="仿宋"/>
          <w:caps w:val="0"/>
          <w:color w:val="auto"/>
          <w:kern w:val="2"/>
          <w:sz w:val="32"/>
          <w:szCs w:val="32"/>
          <w:vertAlign w:val="baseline"/>
        </w:rPr>
      </w:pPr>
      <w:r>
        <w:rPr>
          <w:rFonts w:hint="default" w:ascii="楷体" w:hAnsi="楷体" w:eastAsia="楷体" w:cs="楷体"/>
          <w:b/>
          <w:bCs/>
          <w:caps w:val="0"/>
          <w:color w:val="auto"/>
          <w:kern w:val="2"/>
          <w:sz w:val="32"/>
          <w:szCs w:val="32"/>
          <w:vertAlign w:val="baseline"/>
          <w:lang w:val="en-US" w:eastAsia="zh-CN" w:bidi="ar"/>
        </w:rPr>
        <w:t>第十五条</w:t>
      </w:r>
      <w:r>
        <w:rPr>
          <w:rFonts w:hint="default" w:ascii="仿宋" w:hAnsi="仿宋" w:eastAsia="仿宋" w:cs="仿宋"/>
          <w:b w:val="0"/>
          <w:bCs w:val="0"/>
          <w:caps w:val="0"/>
          <w:color w:val="auto"/>
          <w:kern w:val="2"/>
          <w:sz w:val="32"/>
          <w:szCs w:val="32"/>
          <w:vertAlign w:val="baseline"/>
          <w:lang w:val="en-US" w:eastAsia="zh-CN" w:bidi="ar"/>
        </w:rPr>
        <w:t xml:space="preserve">  </w:t>
      </w:r>
      <w:r>
        <w:rPr>
          <w:rFonts w:hint="eastAsia" w:ascii="仿宋_GB2312" w:hAnsi="Calibri" w:eastAsia="仿宋_GB2312" w:cs="仿宋_GB2312"/>
          <w:b w:val="0"/>
          <w:bCs w:val="0"/>
          <w:caps w:val="0"/>
          <w:color w:val="auto"/>
          <w:kern w:val="2"/>
          <w:sz w:val="32"/>
          <w:szCs w:val="32"/>
          <w:vertAlign w:val="baseline"/>
          <w:lang w:val="en-US" w:eastAsia="zh-CN" w:bidi="ar"/>
        </w:rPr>
        <w:t>本办法与法律法规、上级有关规定冲突的，以法律法规和上级有关规定为准</w:t>
      </w:r>
      <w:r>
        <w:rPr>
          <w:rFonts w:hint="default" w:ascii="仿宋" w:hAnsi="仿宋" w:eastAsia="仿宋" w:cs="仿宋"/>
          <w:b w:val="0"/>
          <w:bCs w:val="0"/>
          <w:caps w:val="0"/>
          <w:color w:val="auto"/>
          <w:kern w:val="2"/>
          <w:sz w:val="32"/>
          <w:szCs w:val="32"/>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default" w:ascii="仿宋" w:hAnsi="仿宋" w:eastAsia="仿宋" w:cs="仿宋"/>
          <w:caps w:val="0"/>
          <w:color w:val="auto"/>
          <w:kern w:val="2"/>
          <w:sz w:val="32"/>
          <w:szCs w:val="32"/>
          <w:vertAlign w:val="baseline"/>
        </w:rPr>
      </w:pPr>
      <w:r>
        <w:rPr>
          <w:rFonts w:hint="default" w:ascii="楷体" w:hAnsi="楷体" w:eastAsia="楷体" w:cs="楷体"/>
          <w:b/>
          <w:bCs/>
          <w:caps w:val="0"/>
          <w:color w:val="auto"/>
          <w:kern w:val="2"/>
          <w:sz w:val="32"/>
          <w:szCs w:val="32"/>
          <w:vertAlign w:val="baseline"/>
          <w:lang w:val="en-US" w:eastAsia="zh-CN" w:bidi="ar"/>
        </w:rPr>
        <w:t>第十六条</w:t>
      </w:r>
      <w:r>
        <w:rPr>
          <w:rFonts w:hint="default" w:ascii="仿宋" w:hAnsi="仿宋" w:eastAsia="仿宋" w:cs="仿宋"/>
          <w:b w:val="0"/>
          <w:bCs w:val="0"/>
          <w:caps w:val="0"/>
          <w:color w:val="auto"/>
          <w:kern w:val="2"/>
          <w:sz w:val="32"/>
          <w:szCs w:val="32"/>
          <w:vertAlign w:val="baseline"/>
          <w:lang w:val="en-US" w:eastAsia="zh-CN" w:bidi="ar"/>
        </w:rPr>
        <w:t xml:space="preserve">   </w:t>
      </w:r>
      <w:r>
        <w:rPr>
          <w:rFonts w:hint="eastAsia" w:ascii="仿宋_GB2312" w:hAnsi="Calibri" w:eastAsia="仿宋_GB2312" w:cs="仿宋_GB2312"/>
          <w:b w:val="0"/>
          <w:bCs w:val="0"/>
          <w:caps w:val="0"/>
          <w:color w:val="auto"/>
          <w:kern w:val="2"/>
          <w:sz w:val="32"/>
          <w:szCs w:val="32"/>
          <w:vertAlign w:val="baseline"/>
          <w:lang w:val="en-US" w:eastAsia="zh-CN" w:bidi="ar"/>
        </w:rPr>
        <w:t>本办法由市经济和信息化局负责解释。</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2" w:firstLineChars="200"/>
        <w:jc w:val="left"/>
        <w:outlineLvl w:val="9"/>
        <w:rPr>
          <w:rFonts w:hint="eastAsia" w:ascii="仿宋_GB2312" w:eastAsia="仿宋_GB2312" w:cs="仿宋_GB2312"/>
          <w:caps w:val="0"/>
          <w:color w:val="auto"/>
          <w:kern w:val="2"/>
          <w:sz w:val="32"/>
          <w:szCs w:val="32"/>
          <w:vertAlign w:val="baseline"/>
        </w:rPr>
      </w:pPr>
      <w:r>
        <w:rPr>
          <w:rFonts w:hint="default" w:ascii="楷体" w:hAnsi="楷体" w:eastAsia="楷体" w:cs="楷体"/>
          <w:b/>
          <w:bCs/>
          <w:caps w:val="0"/>
          <w:color w:val="auto"/>
          <w:kern w:val="2"/>
          <w:sz w:val="32"/>
          <w:szCs w:val="32"/>
          <w:vertAlign w:val="baseline"/>
          <w:lang w:val="en-US" w:eastAsia="zh-CN" w:bidi="ar"/>
        </w:rPr>
        <w:t xml:space="preserve">第十七条   </w:t>
      </w:r>
      <w:r>
        <w:rPr>
          <w:rFonts w:hint="eastAsia" w:ascii="仿宋_GB2312" w:hAnsi="Calibri" w:eastAsia="仿宋_GB2312" w:cs="仿宋_GB2312"/>
          <w:b w:val="0"/>
          <w:bCs w:val="0"/>
          <w:caps w:val="0"/>
          <w:color w:val="auto"/>
          <w:kern w:val="2"/>
          <w:sz w:val="32"/>
          <w:szCs w:val="32"/>
          <w:vertAlign w:val="baseline"/>
          <w:lang w:val="en-US" w:eastAsia="zh-CN" w:bidi="ar"/>
        </w:rPr>
        <w:t>本办法有效期2年，自印发之日起实行。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left"/>
        <w:outlineLvl w:val="9"/>
        <w:rPr>
          <w:rFonts w:hint="eastAsia" w:ascii="仿宋_GB2312" w:eastAsia="仿宋_GB2312" w:cs="仿宋_GB2312"/>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left"/>
        <w:outlineLvl w:val="9"/>
        <w:rPr>
          <w:rFonts w:hint="eastAsia" w:ascii="仿宋_GB2312" w:eastAsia="仿宋_GB2312" w:cs="仿宋_GB2312"/>
          <w:caps w:val="0"/>
          <w:color w:val="auto"/>
          <w:kern w:val="2"/>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附件：1.项目核实表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1600" w:firstLineChars="500"/>
        <w:jc w:val="both"/>
        <w:outlineLvl w:val="9"/>
        <w:rPr>
          <w:rFonts w:hint="eastAsia" w:ascii="黑体" w:hAnsi="宋体" w:eastAsia="黑体" w:cs="黑体"/>
          <w:caps w:val="0"/>
          <w:color w:val="auto"/>
          <w:kern w:val="2"/>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2.承诺书（申报单位用模版）</w:t>
      </w:r>
      <w:r>
        <w:rPr>
          <w:rFonts w:hint="eastAsia" w:ascii="黑体" w:hAnsi="宋体" w:eastAsia="黑体" w:cs="黑体"/>
          <w:b w:val="0"/>
          <w:bCs w:val="0"/>
          <w:caps w:val="0"/>
          <w:color w:val="auto"/>
          <w:kern w:val="2"/>
          <w:sz w:val="32"/>
          <w:szCs w:val="32"/>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caps w:val="0"/>
          <w:color w:val="auto"/>
          <w:kern w:val="2"/>
          <w:sz w:val="32"/>
          <w:szCs w:val="32"/>
          <w:vertAlign w:val="baseline"/>
        </w:rPr>
      </w:pPr>
      <w:r>
        <w:rPr>
          <w:rFonts w:hint="eastAsia" w:ascii="黑体" w:hAnsi="宋体" w:eastAsia="黑体" w:cs="黑体"/>
          <w:b w:val="0"/>
          <w:bCs w:val="0"/>
          <w:caps w:val="0"/>
          <w:color w:val="auto"/>
          <w:kern w:val="2"/>
          <w:sz w:val="32"/>
          <w:szCs w:val="32"/>
          <w:vertAlign w:val="baseline"/>
          <w:lang w:val="en-US" w:eastAsia="zh-CN" w:bidi="ar"/>
        </w:rPr>
        <w:t xml:space="preserve">附件1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方正小标宋_GBK" w:hAnsi="方正小标宋_GBK" w:eastAsia="方正小标宋_GBK" w:cs="方正小标宋_GBK"/>
          <w:caps w:val="0"/>
          <w:color w:val="auto"/>
          <w:kern w:val="2"/>
          <w:sz w:val="32"/>
          <w:szCs w:val="32"/>
          <w:vertAlign w:val="baseline"/>
        </w:rPr>
      </w:pPr>
      <w:r>
        <w:rPr>
          <w:rFonts w:hint="eastAsia" w:ascii="方正小标宋_GBK" w:hAnsi="方正小标宋_GBK" w:eastAsia="方正小标宋_GBK" w:cs="方正小标宋_GBK"/>
          <w:b w:val="0"/>
          <w:bCs w:val="0"/>
          <w:caps w:val="0"/>
          <w:color w:val="auto"/>
          <w:kern w:val="2"/>
          <w:sz w:val="32"/>
          <w:szCs w:val="32"/>
          <w:vertAlign w:val="baseline"/>
          <w:lang w:val="en-US" w:eastAsia="zh-CN" w:bidi="ar"/>
        </w:rPr>
        <w:t>项目核实表</w:t>
      </w:r>
    </w:p>
    <w:tbl>
      <w:tblPr>
        <w:tblW w:w="9060" w:type="dxa"/>
        <w:tblInd w:w="-19"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108" w:type="dxa"/>
          <w:bottom w:w="0" w:type="dxa"/>
          <w:right w:w="108" w:type="dxa"/>
        </w:tblCellMar>
      </w:tblPr>
      <w:tblGrid>
        <w:gridCol w:w="1485"/>
        <w:gridCol w:w="1320"/>
        <w:gridCol w:w="1365"/>
        <w:gridCol w:w="1080"/>
        <w:gridCol w:w="1815"/>
        <w:gridCol w:w="1035"/>
        <w:gridCol w:w="9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53" w:hRule="atLeast"/>
        </w:trPr>
        <w:tc>
          <w:tcPr>
            <w:tcW w:w="1485" w:type="dxa"/>
            <w:tcBorders>
              <w:top w:val="single" w:color="auto" w:sz="6" w:space="0"/>
              <w:left w:val="single" w:color="auto" w:sz="6" w:space="0"/>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单位名称（全称）</w:t>
            </w:r>
          </w:p>
        </w:tc>
        <w:tc>
          <w:tcPr>
            <w:tcW w:w="5580" w:type="dxa"/>
            <w:gridSpan w:val="4"/>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p>
        </w:tc>
        <w:tc>
          <w:tcPr>
            <w:tcW w:w="1035" w:type="dxa"/>
            <w:tcBorders>
              <w:top w:val="nil"/>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法人代表</w:t>
            </w:r>
          </w:p>
        </w:tc>
        <w:tc>
          <w:tcPr>
            <w:tcW w:w="960" w:type="dxa"/>
            <w:tcBorders>
              <w:top w:val="nil"/>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bdr w:val="none" w:color="auto" w:sz="0" w:space="0"/>
                <w:vertAlign w:val="baseline"/>
                <w:lang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367" w:hRule="atLeast"/>
        </w:trPr>
        <w:tc>
          <w:tcPr>
            <w:tcW w:w="1485" w:type="dxa"/>
            <w:tcBorders>
              <w:top w:val="single" w:color="auto" w:sz="6" w:space="0"/>
              <w:left w:val="single" w:color="auto" w:sz="6" w:space="0"/>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单位地址</w:t>
            </w:r>
          </w:p>
        </w:tc>
        <w:tc>
          <w:tcPr>
            <w:tcW w:w="5580" w:type="dxa"/>
            <w:gridSpan w:val="4"/>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p>
        </w:tc>
        <w:tc>
          <w:tcPr>
            <w:tcW w:w="1035" w:type="dxa"/>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邮政编码</w:t>
            </w:r>
          </w:p>
        </w:tc>
        <w:tc>
          <w:tcPr>
            <w:tcW w:w="960" w:type="dxa"/>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bdr w:val="none" w:color="auto" w:sz="0" w:space="0"/>
                <w:vertAlign w:val="baseline"/>
                <w:lang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350" w:hRule="atLeast"/>
        </w:trPr>
        <w:tc>
          <w:tcPr>
            <w:tcW w:w="1485" w:type="dxa"/>
            <w:tcBorders>
              <w:top w:val="single" w:color="auto" w:sz="6" w:space="0"/>
              <w:left w:val="single" w:color="auto" w:sz="6" w:space="0"/>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项目负责人</w:t>
            </w:r>
          </w:p>
        </w:tc>
        <w:tc>
          <w:tcPr>
            <w:tcW w:w="2685" w:type="dxa"/>
            <w:gridSpan w:val="2"/>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p>
        </w:tc>
        <w:tc>
          <w:tcPr>
            <w:tcW w:w="1080" w:type="dxa"/>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电话号码</w:t>
            </w:r>
          </w:p>
        </w:tc>
        <w:tc>
          <w:tcPr>
            <w:tcW w:w="1815" w:type="dxa"/>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p>
        </w:tc>
        <w:tc>
          <w:tcPr>
            <w:tcW w:w="1035" w:type="dxa"/>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手机</w:t>
            </w:r>
          </w:p>
        </w:tc>
        <w:tc>
          <w:tcPr>
            <w:tcW w:w="960" w:type="dxa"/>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bdr w:val="none" w:color="auto" w:sz="0" w:space="0"/>
                <w:vertAlign w:val="baseline"/>
                <w:lang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492" w:hRule="atLeast"/>
        </w:trPr>
        <w:tc>
          <w:tcPr>
            <w:tcW w:w="9060" w:type="dxa"/>
            <w:gridSpan w:val="7"/>
            <w:tcBorders>
              <w:top w:val="single" w:color="auto" w:sz="6" w:space="0"/>
              <w:left w:val="single" w:color="auto" w:sz="6" w:space="0"/>
              <w:bottom w:val="single" w:color="auto" w:sz="6" w:space="0"/>
              <w:right w:val="single" w:color="auto" w:sz="6" w:space="0"/>
            </w:tcBorders>
            <w:shd w:val="clear" w:color="auto" w:fill="FFFF00"/>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二、申报项目基本情况（企业根据申报内容填写）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408" w:hRule="atLeast"/>
        </w:trPr>
        <w:tc>
          <w:tcPr>
            <w:tcW w:w="1485" w:type="dxa"/>
            <w:tcBorders>
              <w:top w:val="single" w:color="auto" w:sz="6" w:space="0"/>
              <w:left w:val="single" w:color="auto" w:sz="6" w:space="0"/>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项目名称</w:t>
            </w:r>
          </w:p>
        </w:tc>
        <w:tc>
          <w:tcPr>
            <w:tcW w:w="3765" w:type="dxa"/>
            <w:gridSpan w:val="3"/>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p>
        </w:tc>
        <w:tc>
          <w:tcPr>
            <w:tcW w:w="1815" w:type="dxa"/>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项目建设地址</w:t>
            </w:r>
          </w:p>
        </w:tc>
        <w:tc>
          <w:tcPr>
            <w:tcW w:w="1995" w:type="dxa"/>
            <w:gridSpan w:val="2"/>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435" w:hRule="atLeast"/>
        </w:trPr>
        <w:tc>
          <w:tcPr>
            <w:tcW w:w="1485" w:type="dxa"/>
            <w:tcBorders>
              <w:top w:val="single" w:color="auto" w:sz="6" w:space="0"/>
              <w:left w:val="single" w:color="auto" w:sz="6" w:space="0"/>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申报方向</w:t>
            </w:r>
          </w:p>
        </w:tc>
        <w:tc>
          <w:tcPr>
            <w:tcW w:w="3765" w:type="dxa"/>
            <w:gridSpan w:val="3"/>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p>
        </w:tc>
        <w:tc>
          <w:tcPr>
            <w:tcW w:w="1815" w:type="dxa"/>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项目当前状态</w:t>
            </w:r>
          </w:p>
        </w:tc>
        <w:tc>
          <w:tcPr>
            <w:tcW w:w="1995" w:type="dxa"/>
            <w:gridSpan w:val="2"/>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383" w:hRule="atLeast"/>
        </w:trPr>
        <w:tc>
          <w:tcPr>
            <w:tcW w:w="1485" w:type="dxa"/>
            <w:tcBorders>
              <w:top w:val="single" w:color="auto" w:sz="6" w:space="0"/>
              <w:left w:val="single" w:color="auto" w:sz="6" w:space="0"/>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项目主要内容</w:t>
            </w:r>
          </w:p>
        </w:tc>
        <w:tc>
          <w:tcPr>
            <w:tcW w:w="7575" w:type="dxa"/>
            <w:gridSpan w:val="6"/>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519" w:hRule="atLeast"/>
        </w:trPr>
        <w:tc>
          <w:tcPr>
            <w:tcW w:w="1485" w:type="dxa"/>
            <w:tcBorders>
              <w:top w:val="nil"/>
              <w:left w:val="single" w:color="auto" w:sz="6" w:space="0"/>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总投资</w:t>
            </w:r>
          </w:p>
        </w:tc>
        <w:tc>
          <w:tcPr>
            <w:tcW w:w="1320" w:type="dxa"/>
            <w:tcBorders>
              <w:top w:val="nil"/>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right"/>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万元</w:t>
            </w:r>
          </w:p>
        </w:tc>
        <w:tc>
          <w:tcPr>
            <w:tcW w:w="1365" w:type="dxa"/>
            <w:tcBorders>
              <w:top w:val="nil"/>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固定资产投资</w:t>
            </w:r>
          </w:p>
        </w:tc>
        <w:tc>
          <w:tcPr>
            <w:tcW w:w="1080" w:type="dxa"/>
            <w:tcBorders>
              <w:top w:val="nil"/>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right"/>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万元</w:t>
            </w:r>
          </w:p>
        </w:tc>
        <w:tc>
          <w:tcPr>
            <w:tcW w:w="1815" w:type="dxa"/>
            <w:tcBorders>
              <w:top w:val="nil"/>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设备（含软件）投资</w:t>
            </w:r>
          </w:p>
        </w:tc>
        <w:tc>
          <w:tcPr>
            <w:tcW w:w="1995" w:type="dxa"/>
            <w:gridSpan w:val="2"/>
            <w:tcBorders>
              <w:top w:val="nil"/>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right"/>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513" w:hRule="atLeast"/>
        </w:trPr>
        <w:tc>
          <w:tcPr>
            <w:tcW w:w="9060" w:type="dxa"/>
            <w:gridSpan w:val="7"/>
            <w:tcBorders>
              <w:top w:val="single" w:color="auto" w:sz="6" w:space="0"/>
              <w:left w:val="single" w:color="auto" w:sz="6" w:space="0"/>
              <w:bottom w:val="single" w:color="auto" w:sz="6" w:space="0"/>
              <w:right w:val="single" w:color="auto" w:sz="6" w:space="0"/>
            </w:tcBorders>
            <w:shd w:val="clear" w:color="auto" w:fill="FFFF00"/>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三、项目现场核实内容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1707" w:hRule="atLeast"/>
        </w:trPr>
        <w:tc>
          <w:tcPr>
            <w:tcW w:w="1485" w:type="dxa"/>
            <w:tcBorders>
              <w:top w:val="single" w:color="auto" w:sz="6" w:space="0"/>
              <w:left w:val="single" w:color="auto" w:sz="6" w:space="0"/>
              <w:bottom w:val="nil"/>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建设条件</w:t>
            </w:r>
          </w:p>
        </w:tc>
        <w:tc>
          <w:tcPr>
            <w:tcW w:w="7575" w:type="dxa"/>
            <w:gridSpan w:val="6"/>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项目审批手续： □齐全    □</w:t>
            </w:r>
            <w:r>
              <w:rPr>
                <w:rFonts w:hint="eastAsia" w:ascii="宋体" w:hAnsi="宋体" w:eastAsia="宋体" w:cs="Times New Roman"/>
                <w:b w:val="0"/>
                <w:bCs w:val="0"/>
                <w:caps w:val="0"/>
                <w:color w:val="auto"/>
                <w:kern w:val="2"/>
                <w:sz w:val="18"/>
                <w:szCs w:val="18"/>
                <w:u w:val="single"/>
                <w:bdr w:val="none" w:color="auto" w:sz="0" w:space="0"/>
                <w:vertAlign w:val="baseline"/>
                <w:lang w:val="en-US" w:eastAsia="zh-CN" w:bidi="ar"/>
              </w:rPr>
              <w:t xml:space="preserve">                             </w:t>
            </w: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要件缺失（注：重点核实项目备案、环评、节能手续，以及矿山、金属冶炼、危险化学品等相关项目安评。其中，项目包含于备案、节能、环评文件等报建审批项目中，未单独再进行报建审批的，需提供经相关行政审批部门确认的关联性证明）项目建设资金（竣工项目无需填写）：已到位资金：</w:t>
            </w:r>
            <w:r>
              <w:rPr>
                <w:rFonts w:hint="eastAsia" w:ascii="宋体" w:hAnsi="宋体" w:eastAsia="宋体" w:cs="Times New Roman"/>
                <w:b w:val="0"/>
                <w:bCs w:val="0"/>
                <w:caps w:val="0"/>
                <w:color w:val="auto"/>
                <w:kern w:val="2"/>
                <w:sz w:val="18"/>
                <w:szCs w:val="18"/>
                <w:u w:val="single"/>
                <w:bdr w:val="none" w:color="auto" w:sz="0" w:space="0"/>
                <w:vertAlign w:val="baseline"/>
                <w:lang w:val="en-US" w:eastAsia="zh-CN" w:bidi="ar"/>
              </w:rPr>
              <w:t xml:space="preserve">           </w:t>
            </w: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万元   其中已到位贷款：</w:t>
            </w:r>
            <w:r>
              <w:rPr>
                <w:rFonts w:hint="eastAsia" w:ascii="宋体" w:hAnsi="宋体" w:eastAsia="宋体" w:cs="Times New Roman"/>
                <w:b w:val="0"/>
                <w:bCs w:val="0"/>
                <w:caps w:val="0"/>
                <w:color w:val="auto"/>
                <w:kern w:val="2"/>
                <w:sz w:val="18"/>
                <w:szCs w:val="18"/>
                <w:u w:val="single"/>
                <w:bdr w:val="none" w:color="auto" w:sz="0" w:space="0"/>
                <w:vertAlign w:val="baseline"/>
                <w:lang w:val="en-US" w:eastAsia="zh-CN" w:bidi="ar"/>
              </w:rPr>
              <w:t xml:space="preserve">          </w:t>
            </w: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万元     资金到位率：</w:t>
            </w:r>
            <w:r>
              <w:rPr>
                <w:rFonts w:hint="eastAsia" w:ascii="宋体" w:hAnsi="宋体" w:eastAsia="宋体" w:cs="Times New Roman"/>
                <w:b w:val="0"/>
                <w:bCs w:val="0"/>
                <w:caps w:val="0"/>
                <w:color w:val="auto"/>
                <w:kern w:val="2"/>
                <w:sz w:val="18"/>
                <w:szCs w:val="18"/>
                <w:u w:val="single"/>
                <w:bdr w:val="none" w:color="auto" w:sz="0" w:space="0"/>
                <w:vertAlign w:val="baseline"/>
                <w:lang w:val="en-US" w:eastAsia="zh-CN" w:bidi="ar"/>
              </w:rPr>
              <w:t xml:space="preserve">     </w:t>
            </w: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1685" w:hRule="atLeast"/>
        </w:trPr>
        <w:tc>
          <w:tcPr>
            <w:tcW w:w="1485" w:type="dxa"/>
            <w:tcBorders>
              <w:top w:val="single" w:color="auto" w:sz="6" w:space="0"/>
              <w:left w:val="single" w:color="auto" w:sz="6" w:space="0"/>
              <w:bottom w:val="nil"/>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建设进度</w:t>
            </w:r>
          </w:p>
        </w:tc>
        <w:tc>
          <w:tcPr>
            <w:tcW w:w="7575" w:type="dxa"/>
            <w:gridSpan w:val="6"/>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项目开工工时间：</w:t>
            </w:r>
            <w:r>
              <w:rPr>
                <w:rFonts w:hint="eastAsia" w:ascii="宋体" w:hAnsi="宋体" w:eastAsia="宋体" w:cs="Times New Roman"/>
                <w:b w:val="0"/>
                <w:bCs w:val="0"/>
                <w:caps w:val="0"/>
                <w:color w:val="auto"/>
                <w:kern w:val="2"/>
                <w:sz w:val="18"/>
                <w:szCs w:val="18"/>
                <w:u w:val="single"/>
                <w:bdr w:val="none" w:color="auto" w:sz="0" w:space="0"/>
                <w:vertAlign w:val="baseline"/>
                <w:lang w:val="en-US" w:eastAsia="zh-CN" w:bidi="ar"/>
              </w:rPr>
              <w:t xml:space="preserve">        </w:t>
            </w: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年</w:t>
            </w:r>
            <w:r>
              <w:rPr>
                <w:rFonts w:hint="eastAsia" w:ascii="宋体" w:hAnsi="宋体" w:eastAsia="宋体" w:cs="Times New Roman"/>
                <w:b w:val="0"/>
                <w:bCs w:val="0"/>
                <w:caps w:val="0"/>
                <w:color w:val="auto"/>
                <w:kern w:val="2"/>
                <w:sz w:val="18"/>
                <w:szCs w:val="18"/>
                <w:u w:val="single"/>
                <w:bdr w:val="none" w:color="auto" w:sz="0" w:space="0"/>
                <w:vertAlign w:val="baseline"/>
                <w:lang w:val="en-US" w:eastAsia="zh-CN" w:bidi="ar"/>
              </w:rPr>
              <w:t xml:space="preserve">     </w:t>
            </w: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月项目竣工时间（在建项目填写预计竣工时间）：</w:t>
            </w:r>
            <w:r>
              <w:rPr>
                <w:rFonts w:hint="eastAsia" w:ascii="宋体" w:hAnsi="宋体" w:eastAsia="宋体" w:cs="Times New Roman"/>
                <w:b w:val="0"/>
                <w:bCs w:val="0"/>
                <w:caps w:val="0"/>
                <w:color w:val="auto"/>
                <w:kern w:val="2"/>
                <w:sz w:val="18"/>
                <w:szCs w:val="18"/>
                <w:u w:val="single"/>
                <w:bdr w:val="none" w:color="auto" w:sz="0" w:space="0"/>
                <w:vertAlign w:val="baseline"/>
                <w:lang w:val="en-US" w:eastAsia="zh-CN" w:bidi="ar"/>
              </w:rPr>
              <w:t xml:space="preserve">       </w:t>
            </w: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 xml:space="preserve">年 </w:t>
            </w:r>
            <w:r>
              <w:rPr>
                <w:rFonts w:hint="eastAsia" w:ascii="宋体" w:hAnsi="宋体" w:eastAsia="宋体" w:cs="Times New Roman"/>
                <w:b w:val="0"/>
                <w:bCs w:val="0"/>
                <w:caps w:val="0"/>
                <w:color w:val="auto"/>
                <w:kern w:val="2"/>
                <w:sz w:val="18"/>
                <w:szCs w:val="18"/>
                <w:u w:val="single"/>
                <w:bdr w:val="none" w:color="auto" w:sz="0" w:space="0"/>
                <w:vertAlign w:val="baseline"/>
                <w:lang w:val="en-US" w:eastAsia="zh-CN" w:bidi="ar"/>
              </w:rPr>
              <w:t xml:space="preserve">    </w:t>
            </w: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月项目单项验收完成时间（未完成项目填写预计完成时间）：</w:t>
            </w:r>
            <w:r>
              <w:rPr>
                <w:rFonts w:hint="eastAsia" w:ascii="宋体" w:hAnsi="宋体" w:eastAsia="宋体" w:cs="Times New Roman"/>
                <w:b w:val="0"/>
                <w:bCs w:val="0"/>
                <w:caps w:val="0"/>
                <w:color w:val="auto"/>
                <w:kern w:val="2"/>
                <w:sz w:val="18"/>
                <w:szCs w:val="18"/>
                <w:u w:val="single"/>
                <w:bdr w:val="none" w:color="auto" w:sz="0" w:space="0"/>
                <w:vertAlign w:val="baseline"/>
                <w:lang w:val="en-US" w:eastAsia="zh-CN" w:bidi="ar"/>
              </w:rPr>
              <w:t xml:space="preserve">       </w:t>
            </w: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年</w:t>
            </w:r>
            <w:r>
              <w:rPr>
                <w:rFonts w:hint="eastAsia" w:ascii="宋体" w:hAnsi="宋体" w:eastAsia="宋体" w:cs="Times New Roman"/>
                <w:b w:val="0"/>
                <w:bCs w:val="0"/>
                <w:caps w:val="0"/>
                <w:color w:val="auto"/>
                <w:kern w:val="2"/>
                <w:sz w:val="18"/>
                <w:szCs w:val="18"/>
                <w:u w:val="single"/>
                <w:bdr w:val="none" w:color="auto" w:sz="0" w:space="0"/>
                <w:vertAlign w:val="baseline"/>
                <w:lang w:val="en-US" w:eastAsia="zh-CN" w:bidi="ar"/>
              </w:rPr>
              <w:t xml:space="preserve">    </w:t>
            </w: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月项目形象进度：□场地平整  □土建施工   □设备安装、调试   □试生产，正开展单项验收  □单项验收完成，正式投产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1635" w:hRule="atLeast"/>
        </w:trPr>
        <w:tc>
          <w:tcPr>
            <w:tcW w:w="1485" w:type="dxa"/>
            <w:tcBorders>
              <w:top w:val="single" w:color="auto" w:sz="6" w:space="0"/>
              <w:left w:val="single" w:color="auto" w:sz="6" w:space="0"/>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建设情况</w:t>
            </w:r>
          </w:p>
        </w:tc>
        <w:tc>
          <w:tcPr>
            <w:tcW w:w="7575" w:type="dxa"/>
            <w:gridSpan w:val="6"/>
            <w:tcBorders>
              <w:top w:val="single" w:color="auto" w:sz="6" w:space="0"/>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项目建设内容：□与申报材料一致    □与申报材料基本一致（建设内容变化不超过10%）   □与申报材料不一致（主要产品、采用技术、采购设备、拟建厂房、生产线、建设地址等发生变化）项目建设进度：□超过预期进度    □按预期进度推进   □滞后与预期进度 滞后时间：   个月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752" w:hRule="atLeast"/>
        </w:trPr>
        <w:tc>
          <w:tcPr>
            <w:tcW w:w="1485" w:type="dxa"/>
            <w:tcBorders>
              <w:top w:val="single" w:color="auto" w:sz="6" w:space="0"/>
              <w:left w:val="single" w:color="auto" w:sz="6" w:space="0"/>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投资情况</w:t>
            </w:r>
          </w:p>
        </w:tc>
        <w:tc>
          <w:tcPr>
            <w:tcW w:w="7575" w:type="dxa"/>
            <w:gridSpan w:val="6"/>
            <w:tcBorders>
              <w:top w:val="single" w:color="auto" w:sz="6" w:space="0"/>
              <w:left w:val="nil"/>
              <w:bottom w:val="single" w:color="auto" w:sz="6" w:space="0"/>
              <w:right w:val="single" w:color="auto" w:sz="6" w:space="0"/>
            </w:tcBorders>
            <w:shd w:val="clear"/>
            <w:noWrap/>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核定项目总投资：</w:t>
            </w:r>
            <w:r>
              <w:rPr>
                <w:rFonts w:hint="eastAsia" w:ascii="宋体" w:hAnsi="宋体" w:eastAsia="宋体" w:cs="Times New Roman"/>
                <w:b w:val="0"/>
                <w:bCs w:val="0"/>
                <w:caps w:val="0"/>
                <w:color w:val="auto"/>
                <w:kern w:val="2"/>
                <w:sz w:val="18"/>
                <w:szCs w:val="18"/>
                <w:u w:val="single"/>
                <w:bdr w:val="none" w:color="auto" w:sz="0" w:space="0"/>
                <w:vertAlign w:val="baseline"/>
                <w:lang w:val="en-US" w:eastAsia="zh-CN" w:bidi="ar"/>
              </w:rPr>
              <w:t xml:space="preserve">                </w:t>
            </w: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万元   核定项目固定资产投资：</w:t>
            </w:r>
            <w:r>
              <w:rPr>
                <w:rFonts w:hint="eastAsia" w:ascii="宋体" w:hAnsi="宋体" w:eastAsia="宋体" w:cs="Times New Roman"/>
                <w:b w:val="0"/>
                <w:bCs w:val="0"/>
                <w:caps w:val="0"/>
                <w:color w:val="auto"/>
                <w:kern w:val="2"/>
                <w:sz w:val="18"/>
                <w:szCs w:val="18"/>
                <w:u w:val="single"/>
                <w:bdr w:val="none" w:color="auto" w:sz="0" w:space="0"/>
                <w:vertAlign w:val="baseline"/>
                <w:lang w:val="en-US" w:eastAsia="zh-CN" w:bidi="ar"/>
              </w:rPr>
              <w:t xml:space="preserve">                </w:t>
            </w: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万元核定项目设备（含软件）投资</w:t>
            </w:r>
            <w:r>
              <w:rPr>
                <w:rFonts w:hint="eastAsia" w:ascii="宋体" w:hAnsi="宋体" w:eastAsia="宋体" w:cs="Times New Roman"/>
                <w:b w:val="0"/>
                <w:bCs w:val="0"/>
                <w:caps w:val="0"/>
                <w:color w:val="auto"/>
                <w:kern w:val="2"/>
                <w:sz w:val="18"/>
                <w:szCs w:val="18"/>
                <w:u w:val="single"/>
                <w:bdr w:val="none" w:color="auto" w:sz="0" w:space="0"/>
                <w:vertAlign w:val="baseline"/>
                <w:lang w:val="en-US" w:eastAsia="zh-CN" w:bidi="ar"/>
              </w:rPr>
              <w:t xml:space="preserve">                </w:t>
            </w: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 xml:space="preserve">万元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227" w:hRule="atLeast"/>
        </w:trPr>
        <w:tc>
          <w:tcPr>
            <w:tcW w:w="1485" w:type="dxa"/>
            <w:vMerge w:val="restart"/>
            <w:tcBorders>
              <w:top w:val="nil"/>
              <w:left w:val="single" w:color="auto" w:sz="6" w:space="0"/>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财务情况</w:t>
            </w:r>
          </w:p>
        </w:tc>
        <w:tc>
          <w:tcPr>
            <w:tcW w:w="7575" w:type="dxa"/>
            <w:gridSpan w:val="6"/>
            <w:tcBorders>
              <w:top w:val="single" w:color="auto" w:sz="6" w:space="0"/>
              <w:left w:val="nil"/>
              <w:bottom w:val="nil"/>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Times New Roman"/>
                <w:caps w:val="0"/>
                <w:color w:val="auto"/>
                <w:kern w:val="2"/>
                <w:sz w:val="18"/>
                <w:szCs w:val="18"/>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资产负债率：</w:t>
            </w:r>
            <w:r>
              <w:rPr>
                <w:rFonts w:hint="eastAsia" w:ascii="宋体" w:hAnsi="宋体" w:eastAsia="宋体" w:cs="Times New Roman"/>
                <w:b w:val="0"/>
                <w:bCs w:val="0"/>
                <w:caps w:val="0"/>
                <w:color w:val="auto"/>
                <w:kern w:val="2"/>
                <w:sz w:val="18"/>
                <w:szCs w:val="18"/>
                <w:u w:val="single"/>
                <w:bdr w:val="none" w:color="auto" w:sz="0" w:space="0"/>
                <w:vertAlign w:val="baseline"/>
                <w:lang w:val="en-US" w:eastAsia="zh-CN" w:bidi="ar"/>
              </w:rPr>
              <w:t xml:space="preserve">     </w:t>
            </w: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 （资产负债率超过80%，需重点核实项目建设资金是否有稳定保障）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440" w:hRule="atLeast"/>
        </w:trPr>
        <w:tc>
          <w:tcPr>
            <w:tcW w:w="1485" w:type="dxa"/>
            <w:vMerge w:val="continue"/>
            <w:tcBorders>
              <w:top w:val="nil"/>
              <w:left w:val="single" w:color="auto" w:sz="6" w:space="0"/>
              <w:bottom w:val="single" w:color="auto" w:sz="6" w:space="0"/>
              <w:right w:val="single" w:color="auto" w:sz="6" w:space="0"/>
            </w:tcBorders>
            <w:shd w:val="clear"/>
            <w:noWrap/>
            <w:vAlign w:val="center"/>
          </w:tcPr>
          <w:p>
            <w:pPr>
              <w:rPr>
                <w:rFonts w:hint="eastAsia" w:ascii="宋体"/>
                <w:sz w:val="24"/>
                <w:szCs w:val="24"/>
              </w:rPr>
            </w:pPr>
          </w:p>
        </w:tc>
        <w:tc>
          <w:tcPr>
            <w:tcW w:w="7575" w:type="dxa"/>
            <w:gridSpan w:val="6"/>
            <w:tcBorders>
              <w:top w:val="nil"/>
              <w:left w:val="nil"/>
              <w:bottom w:val="single" w:color="auto" w:sz="6" w:space="0"/>
              <w:right w:val="single" w:color="auto" w:sz="6"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Times New Roman"/>
                <w:caps w:val="0"/>
                <w:color w:val="auto"/>
                <w:kern w:val="2"/>
                <w:sz w:val="18"/>
                <w:szCs w:val="18"/>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整体财务情况：□好  □一般  □差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392" w:hRule="atLeast"/>
        </w:trPr>
        <w:tc>
          <w:tcPr>
            <w:tcW w:w="9060" w:type="dxa"/>
            <w:gridSpan w:val="7"/>
            <w:tcBorders>
              <w:top w:val="single" w:color="auto" w:sz="6" w:space="0"/>
              <w:left w:val="single" w:color="auto" w:sz="6" w:space="0"/>
              <w:bottom w:val="nil"/>
              <w:right w:val="single" w:color="auto" w:sz="6" w:space="0"/>
            </w:tcBorders>
            <w:shd w:val="clear" w:color="auto" w:fill="FFFF00"/>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四、核实意见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778" w:hRule="atLeast"/>
        </w:trPr>
        <w:tc>
          <w:tcPr>
            <w:tcW w:w="9060" w:type="dxa"/>
            <w:gridSpan w:val="7"/>
            <w:tcBorders>
              <w:top w:val="single" w:color="auto" w:sz="6" w:space="0"/>
              <w:left w:val="single" w:color="auto" w:sz="6" w:space="0"/>
              <w:bottom w:val="nil"/>
              <w:right w:val="single" w:color="auto" w:sz="6" w:space="0"/>
            </w:tcBorders>
            <w:shd w:val="clear"/>
            <w:noWrap/>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（项目存在重要审批手续缺失，建设内容、建设进度与申报材料不一致，资产负债率超过100%且项目资金无保障，以及其他专家认为需明确的问题，请在意见中予以明确）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284" w:hRule="atLeast"/>
        </w:trPr>
        <w:tc>
          <w:tcPr>
            <w:tcW w:w="9060" w:type="dxa"/>
            <w:gridSpan w:val="7"/>
            <w:tcBorders>
              <w:top w:val="single" w:color="auto" w:sz="6" w:space="0"/>
              <w:left w:val="single" w:color="auto" w:sz="4" w:space="0"/>
              <w:bottom w:val="nil"/>
              <w:right w:val="nil"/>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Times New Roman"/>
                <w:caps w:val="0"/>
                <w:color w:val="auto"/>
                <w:kern w:val="2"/>
                <w:sz w:val="18"/>
                <w:szCs w:val="18"/>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 xml:space="preserve">专家组组长：                                         专家组成员：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bdr w:val="none" w:color="auto" w:sz="0" w:space="0"/>
                <w:vertAlign w:val="baseline"/>
                <w:lang w:bidi="ar"/>
              </w:rPr>
            </w:pPr>
            <w:r>
              <w:rPr>
                <w:rFonts w:hint="eastAsia" w:ascii="宋体" w:hAnsi="宋体" w:eastAsia="宋体" w:cs="Times New Roman"/>
                <w:b w:val="0"/>
                <w:bCs w:val="0"/>
                <w:caps w:val="0"/>
                <w:color w:val="auto"/>
                <w:kern w:val="2"/>
                <w:sz w:val="18"/>
                <w:szCs w:val="18"/>
                <w:bdr w:val="none" w:color="auto" w:sz="0" w:space="0"/>
                <w:vertAlign w:val="baseline"/>
                <w:lang w:val="en-US" w:eastAsia="zh-CN" w:bidi="ar"/>
              </w:rPr>
              <w:t>参加核实人员：</w:t>
            </w: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5460" w:firstLineChars="2600"/>
        <w:jc w:val="both"/>
        <w:outlineLvl w:val="9"/>
        <w:rPr>
          <w:rFonts w:hint="eastAsia" w:ascii="宋体" w:hAnsi="宋体" w:eastAsia="宋体" w:cs="Times New Roman"/>
          <w:caps w:val="0"/>
          <w:color w:val="auto"/>
          <w:kern w:val="2"/>
          <w:sz w:val="18"/>
          <w:szCs w:val="18"/>
          <w:vertAlign w:val="baseline"/>
          <w:lang w:bidi="ar"/>
        </w:rPr>
      </w:pPr>
      <w:r>
        <w:rPr>
          <w:rFonts w:hint="eastAsia" w:ascii="宋体" w:hAnsi="宋体" w:eastAsia="宋体" w:cs="宋体"/>
          <w:b w:val="0"/>
          <w:bCs w:val="0"/>
          <w:caps w:val="0"/>
          <w:color w:val="auto"/>
          <w:kern w:val="0"/>
          <w:sz w:val="21"/>
          <w:szCs w:val="21"/>
          <w:vertAlign w:val="baseline"/>
          <w:lang w:val="en-US" w:eastAsia="zh-CN" w:bidi="ar"/>
        </w:rPr>
        <w:t xml:space="preserve"> </w:t>
      </w:r>
      <w:r>
        <w:rPr>
          <w:rFonts w:hint="eastAsia" w:ascii="宋体" w:hAnsi="宋体" w:eastAsia="宋体" w:cs="宋体"/>
          <w:b w:val="0"/>
          <w:bCs w:val="0"/>
          <w:caps w:val="0"/>
          <w:color w:val="auto"/>
          <w:kern w:val="2"/>
          <w:sz w:val="18"/>
          <w:szCs w:val="18"/>
          <w:vertAlign w:val="baseline"/>
          <w:lang w:val="en-US" w:eastAsia="zh-CN" w:bidi="ar"/>
        </w:rPr>
        <w:t>日期：     年   月   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caps w:val="0"/>
          <w:color w:val="auto"/>
          <w:kern w:val="2"/>
          <w:sz w:val="32"/>
          <w:szCs w:val="32"/>
          <w:vertAlign w:val="baseline"/>
        </w:rPr>
      </w:pPr>
      <w:r>
        <w:rPr>
          <w:rFonts w:hint="eastAsia" w:ascii="黑体" w:hAnsi="宋体" w:eastAsia="黑体" w:cs="黑体"/>
          <w:b w:val="0"/>
          <w:bCs w:val="0"/>
          <w:caps w:val="0"/>
          <w:color w:val="auto"/>
          <w:kern w:val="2"/>
          <w:sz w:val="32"/>
          <w:szCs w:val="32"/>
          <w:vertAlign w:val="baseline"/>
          <w:lang w:val="en-US" w:eastAsia="zh-CN" w:bidi="ar"/>
        </w:rPr>
        <w:t xml:space="preserve">附件2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方正小标宋_GBK" w:hAnsi="方正小标宋_GBK" w:eastAsia="方正小标宋_GBK" w:cs="方正小标宋_GBK"/>
          <w:caps w:val="0"/>
          <w:color w:val="auto"/>
          <w:kern w:val="2"/>
          <w:sz w:val="32"/>
          <w:szCs w:val="32"/>
          <w:vertAlign w:val="baseline"/>
        </w:rPr>
      </w:pPr>
      <w:r>
        <w:rPr>
          <w:rFonts w:hint="eastAsia" w:ascii="方正小标宋_GBK" w:hAnsi="方正小标宋_GBK" w:eastAsia="方正小标宋_GBK" w:cs="方正小标宋_GBK"/>
          <w:b w:val="0"/>
          <w:bCs w:val="0"/>
          <w:caps w:val="0"/>
          <w:color w:val="auto"/>
          <w:kern w:val="2"/>
          <w:sz w:val="32"/>
          <w:szCs w:val="32"/>
          <w:vertAlign w:val="baseline"/>
          <w:lang w:val="en-US" w:eastAsia="zh-CN" w:bidi="ar"/>
        </w:rPr>
        <w:t>承诺书（申报单位用模版）</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jc w:val="left"/>
        <w:outlineLvl w:val="9"/>
        <w:rPr>
          <w:rFonts w:hint="eastAsia" w:ascii="仿宋_GB2312" w:eastAsia="仿宋_GB2312" w:cs="仿宋_GB2312"/>
          <w:caps w:val="0"/>
          <w:color w:val="auto"/>
          <w:kern w:val="2"/>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根据专项资金申报要求，我单位承诺：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left"/>
        <w:outlineLvl w:val="9"/>
        <w:rPr>
          <w:rFonts w:hint="eastAsia" w:ascii="仿宋_GB2312" w:eastAsia="仿宋_GB2312" w:cs="仿宋_GB2312"/>
          <w:caps w:val="0"/>
          <w:color w:val="auto"/>
          <w:kern w:val="2"/>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一、本次申报所提交材料是在认真阅读项目征集指南、相关管理规定基础上，按程序和规定编制的。</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left"/>
        <w:outlineLvl w:val="9"/>
        <w:rPr>
          <w:rFonts w:hint="eastAsia" w:ascii="仿宋_GB2312" w:eastAsia="仿宋_GB2312" w:cs="仿宋_GB2312"/>
          <w:caps w:val="0"/>
          <w:color w:val="auto"/>
          <w:kern w:val="2"/>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二、本次申报涉及相关内容及数据均真实、合法、有效；网上填报信息与纸质资料一致，我单位对全部资料的真实性、合法性负责，自愿承担由申报内容失实导致的全部责任。</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left"/>
        <w:outlineLvl w:val="9"/>
        <w:rPr>
          <w:rFonts w:hint="eastAsia" w:ascii="仿宋_GB2312" w:eastAsia="仿宋_GB2312" w:cs="仿宋_GB2312"/>
          <w:caps w:val="0"/>
          <w:color w:val="auto"/>
          <w:kern w:val="2"/>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三、本次报送资料不涉及国家秘密、个人隐私和其他敏感信息，符合法律法规相关规定。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left"/>
        <w:outlineLvl w:val="9"/>
        <w:rPr>
          <w:rFonts w:hint="eastAsia" w:ascii="仿宋_GB2312" w:eastAsia="仿宋_GB2312" w:cs="仿宋_GB2312"/>
          <w:caps w:val="0"/>
          <w:color w:val="auto"/>
          <w:kern w:val="2"/>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三、本次所申报项目未获得各级财政资金支持，无重复申报、多头申报行为。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left"/>
        <w:outlineLvl w:val="9"/>
        <w:rPr>
          <w:rFonts w:hint="eastAsia" w:ascii="仿宋_GB2312" w:eastAsia="仿宋_GB2312" w:cs="仿宋_GB2312"/>
          <w:caps w:val="0"/>
          <w:color w:val="auto"/>
          <w:kern w:val="2"/>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四、我单位近三年未发生重大安全、环保事故；不属于失信被执行人；单位及主要股东不涉及法律纠纷。</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仿宋_GB2312" w:eastAsia="仿宋_GB2312" w:cs="仿宋_GB2312"/>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仿宋_GB2312" w:eastAsia="仿宋_GB2312" w:cs="仿宋_GB2312"/>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仿宋_GB2312" w:eastAsia="仿宋_GB2312" w:cs="仿宋_GB2312"/>
          <w:caps w:val="0"/>
          <w:color w:val="auto"/>
          <w:kern w:val="2"/>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 xml:space="preserve">                        承诺单位（盖章）：</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仿宋_GB2312" w:eastAsia="仿宋_GB2312" w:cs="仿宋_GB2312"/>
          <w:caps w:val="0"/>
          <w:color w:val="auto"/>
          <w:kern w:val="2"/>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 xml:space="preserve">                         X 年 X 月 X日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hint="eastAsia" w:ascii="仿宋_GB2312" w:eastAsia="仿宋_GB2312" w:cs="仿宋_GB2312"/>
          <w:caps w:val="0"/>
          <w:color w:val="auto"/>
          <w:kern w:val="2"/>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Calibri"/>
          <w:caps w:val="0"/>
          <w:color w:val="auto"/>
          <w:kern w:val="2"/>
          <w:sz w:val="21"/>
          <w:szCs w:val="21"/>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Times New Roman"/>
          <w:caps w:val="0"/>
          <w:color w:val="auto"/>
          <w:kern w:val="2"/>
          <w:sz w:val="21"/>
          <w:szCs w:val="21"/>
          <w:vertAlign w:val="baseline"/>
          <w:lang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Calibri"/>
          <w:caps w:val="0"/>
          <w:color w:val="auto"/>
          <w:sz w:val="21"/>
          <w:szCs w:val="21"/>
          <w:vertAlign w:val="baseline"/>
        </w:rPr>
      </w:pPr>
    </w:p>
    <w:p/>
    <w:sectPr>
      <w:pgSz w:w="11907" w:h="16839"/>
      <w:pgMar w:top="1440" w:right="1800" w:bottom="1440" w:left="1800" w:header="851" w:footer="992" w:gutter="1"/>
      <w:paperSrc/>
      <w:pgBorders w:offsetFrom="page">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7446"/>
  </w:font>
  <w:font w:name="方正小标宋_GBK">
    <w:panose1 w:val="02000000000000000000"/>
    <w:charset w:val="86"/>
    <w:family w:val="auto"/>
    <w:pitch w:val="default"/>
    <w:sig w:usb0="A00002BF" w:usb1="38CF7CFA" w:usb2="00082016" w:usb3="00000000" w:csb0="00040001" w:csb1="00000000"/>
  </w:font>
  <w:font w:name="楷体">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仿宋">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FE947"/>
    <w:rsid w:val="2F52F7EA"/>
    <w:rsid w:val="792FDE91"/>
    <w:rsid w:val="7FE321B3"/>
    <w:rsid w:val="9BFFD234"/>
    <w:rsid w:val="F1FEAEDB"/>
    <w:rsid w:val="F7BFE947"/>
    <w:rsid w:val="FAED1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2023-11-06T08:41:00Z</dcterms:created>
  <dc:creator>王文林</dc:creator>
  <cp:lastModifiedBy>王文林</cp:lastModifiedBy>
  <dcterms:modified xsi:type="dcterms:W3CDTF">2023-11-06T08:42:46Z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F6F9F43320D3556B3236486599D2BD5C</vt:lpwstr>
  </property>
</Properties>
</file>