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方正小标宋简体" w:eastAsia="方正小标宋简体"/>
          <w:sz w:val="44"/>
          <w:szCs w:val="44"/>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8" w:lineRule="exact"/>
        <w:ind w:left="0" w:right="0" w:firstLine="0"/>
        <w:jc w:val="center"/>
        <w:outlineLvl w:val="9"/>
        <w:rPr>
          <w:rFonts w:hint="eastAsia" w:ascii="方正小标宋简体" w:eastAsia="方正小标宋简体" w:cs="方正小标宋简体"/>
          <w:color w:val="auto"/>
          <w:kern w:val="2"/>
          <w:sz w:val="44"/>
          <w:szCs w:val="44"/>
          <w:vertAlign w:val="baseline"/>
          <w:lang w:bidi="ar-SA"/>
        </w:rPr>
      </w:pPr>
      <w:r>
        <w:rPr>
          <w:rFonts w:hint="eastAsia" w:ascii="方正小标宋简体" w:eastAsia="方正小标宋简体" w:cs="方正小标宋简体"/>
          <w:color w:val="auto"/>
          <w:kern w:val="2"/>
          <w:sz w:val="44"/>
          <w:szCs w:val="44"/>
          <w:vertAlign w:val="baseline"/>
          <w:lang w:val="en-US" w:eastAsia="zh-CN" w:bidi="ar-SA"/>
        </w:rPr>
        <w:t>广元市经济和信息化局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8" w:lineRule="exact"/>
        <w:ind w:left="0" w:right="0" w:firstLine="0"/>
        <w:jc w:val="center"/>
        <w:outlineLvl w:val="9"/>
        <w:rPr>
          <w:rFonts w:hint="eastAsia" w:ascii="方正小标宋简体" w:eastAsia="方正小标宋简体" w:cs="方正小标宋简体"/>
          <w:color w:val="auto"/>
          <w:kern w:val="2"/>
          <w:sz w:val="44"/>
          <w:szCs w:val="44"/>
          <w:vertAlign w:val="baseline"/>
          <w:lang w:bidi="ar-SA"/>
        </w:rPr>
      </w:pPr>
      <w:r>
        <w:rPr>
          <w:rFonts w:hint="eastAsia" w:ascii="方正小标宋简体" w:eastAsia="方正小标宋简体" w:cs="方正小标宋简体"/>
          <w:color w:val="auto"/>
          <w:spacing w:val="0"/>
          <w:kern w:val="2"/>
          <w:sz w:val="44"/>
          <w:szCs w:val="44"/>
          <w:vertAlign w:val="baseline"/>
          <w:lang w:val="en-US" w:eastAsia="zh-CN" w:bidi="ar-SA"/>
        </w:rPr>
        <w:t>关于新建</w:t>
      </w:r>
      <w:r>
        <w:rPr>
          <w:rFonts w:hint="eastAsia" w:ascii="宋体" w:hAnsi="宋体" w:eastAsia="方正小标宋简体"/>
          <w:color w:val="000000"/>
          <w:sz w:val="44"/>
          <w:szCs w:val="44"/>
          <w:lang w:eastAsia="zh-CN"/>
        </w:rPr>
        <w:t>苍巴高速公路歧坪服务区左、右加油站</w:t>
      </w:r>
      <w:r>
        <w:rPr>
          <w:rFonts w:hint="eastAsia" w:ascii="方正小标宋简体" w:eastAsia="方正小标宋简体" w:cs="方正小标宋简体"/>
          <w:color w:val="auto"/>
          <w:spacing w:val="0"/>
          <w:kern w:val="2"/>
          <w:sz w:val="44"/>
          <w:szCs w:val="44"/>
          <w:vertAlign w:val="baseline"/>
          <w:lang w:val="en-US" w:eastAsia="zh-CN" w:bidi="ar-SA"/>
        </w:rPr>
        <w:t>的</w:t>
      </w:r>
      <w:r>
        <w:rPr>
          <w:rFonts w:hint="eastAsia" w:ascii="方正小标宋简体" w:eastAsia="方正小标宋简体" w:cs="方正小标宋简体"/>
          <w:color w:val="auto"/>
          <w:kern w:val="2"/>
          <w:sz w:val="44"/>
          <w:szCs w:val="44"/>
          <w:vertAlign w:val="baseline"/>
          <w:lang w:val="en-US" w:eastAsia="zh-CN" w:bidi="ar-SA"/>
        </w:rPr>
        <w:t>确认函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8" w:lineRule="exact"/>
        <w:ind w:left="0" w:right="0" w:firstLine="0"/>
        <w:jc w:val="center"/>
        <w:outlineLvl w:val="9"/>
        <w:rPr>
          <w:rFonts w:hint="eastAsia" w:ascii="方正小标宋简体" w:eastAsia="方正小标宋简体" w:cs="方正小标宋简体"/>
          <w:color w:val="auto"/>
          <w:kern w:val="2"/>
          <w:sz w:val="44"/>
          <w:szCs w:val="44"/>
          <w:vertAlign w:val="baseline"/>
          <w:lang w:bidi="ar-SA"/>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8" w:lineRule="exact"/>
        <w:ind w:left="0" w:right="0" w:firstLine="0"/>
        <w:jc w:val="both"/>
        <w:outlineLvl w:val="9"/>
        <w:rPr>
          <w:rFonts w:hint="eastAsia" w:ascii="仿宋_GB2312" w:eastAsia="仿宋_GB2312" w:cs="仿宋_GB2312"/>
          <w:color w:val="auto"/>
          <w:kern w:val="2"/>
          <w:sz w:val="32"/>
          <w:szCs w:val="32"/>
          <w:vertAlign w:val="baseline"/>
          <w:lang w:bidi="ar-SA"/>
        </w:rPr>
      </w:pPr>
      <w:r>
        <w:rPr>
          <w:rFonts w:hint="eastAsia" w:ascii="仿宋_GB2312" w:eastAsia="仿宋_GB2312" w:cs="仿宋_GB2312"/>
          <w:color w:val="auto"/>
          <w:kern w:val="2"/>
          <w:sz w:val="32"/>
          <w:szCs w:val="32"/>
          <w:vertAlign w:val="baseline"/>
          <w:lang w:val="en-US" w:eastAsia="zh-CN" w:bidi="ar-SA"/>
        </w:rPr>
        <w:t>苍溪县经济和信息化局：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640" w:firstLineChars="200"/>
        <w:jc w:val="both"/>
        <w:outlineLvl w:val="9"/>
        <w:rPr>
          <w:rFonts w:hint="eastAsia" w:ascii="仿宋_GB2312" w:eastAsia="仿宋_GB2312" w:cs="仿宋_GB2312"/>
          <w:color w:val="000000"/>
          <w:kern w:val="2"/>
          <w:sz w:val="32"/>
          <w:szCs w:val="32"/>
          <w:vertAlign w:val="baseline"/>
          <w:lang w:bidi="ar-SA"/>
        </w:rPr>
      </w:pPr>
      <w:r>
        <w:rPr>
          <w:rFonts w:hint="eastAsia" w:ascii="仿宋_GB2312" w:eastAsia="仿宋_GB2312" w:cs="仿宋_GB2312"/>
          <w:color w:val="auto"/>
          <w:kern w:val="2"/>
          <w:sz w:val="32"/>
          <w:szCs w:val="32"/>
          <w:vertAlign w:val="baseline"/>
          <w:lang w:val="en-US" w:eastAsia="zh-CN" w:bidi="ar-SA"/>
        </w:rPr>
        <w:t>你局</w:t>
      </w:r>
      <w:r>
        <w:rPr>
          <w:rFonts w:hint="eastAsia" w:ascii="仿宋_GB2312" w:eastAsia="仿宋_GB2312" w:cs="仿宋_GB2312"/>
          <w:color w:val="auto"/>
          <w:spacing w:val="0"/>
          <w:kern w:val="2"/>
          <w:sz w:val="32"/>
          <w:szCs w:val="32"/>
          <w:vertAlign w:val="baseline"/>
          <w:lang w:val="en-US" w:eastAsia="zh-CN" w:bidi="ar-SA"/>
        </w:rPr>
        <w:t>《关于新建四川蜀交能源开发有限公司苍巴高速公路歧坪服务区左、右加油站的请示》</w:t>
      </w:r>
      <w:r>
        <w:rPr>
          <w:rFonts w:hint="eastAsia" w:ascii="仿宋_GB2312" w:eastAsia="仿宋_GB2312" w:cs="仿宋"/>
          <w:color w:val="auto"/>
          <w:spacing w:val="0"/>
          <w:kern w:val="2"/>
          <w:sz w:val="32"/>
          <w:szCs w:val="32"/>
          <w:vertAlign w:val="baseline"/>
          <w:lang w:val="en-US" w:eastAsia="zh-CN" w:bidi="ar-SA"/>
        </w:rPr>
        <w:t>（苍经信〔2024〕99号）</w:t>
      </w:r>
      <w:r>
        <w:rPr>
          <w:rFonts w:hint="eastAsia" w:ascii="仿宋_GB2312" w:eastAsia="仿宋_GB2312" w:cs="仿宋_GB2312"/>
          <w:color w:val="auto"/>
          <w:kern w:val="2"/>
          <w:sz w:val="32"/>
          <w:szCs w:val="32"/>
          <w:vertAlign w:val="baseline"/>
          <w:lang w:val="en-US" w:eastAsia="zh-CN" w:bidi="ar-SA"/>
        </w:rPr>
        <w:t>收悉。经审查，拟新建的</w:t>
      </w:r>
      <w:r>
        <w:rPr>
          <w:rFonts w:hint="eastAsia" w:ascii="仿宋_GB2312" w:eastAsia="仿宋_GB2312" w:cs="仿宋_GB2312"/>
          <w:color w:val="auto"/>
          <w:spacing w:val="0"/>
          <w:kern w:val="2"/>
          <w:sz w:val="32"/>
          <w:szCs w:val="32"/>
          <w:vertAlign w:val="baseline"/>
          <w:lang w:val="en-US" w:eastAsia="zh-CN" w:bidi="ar-SA"/>
        </w:rPr>
        <w:t>苍巴高速公路歧坪服务区左、右加油站</w:t>
      </w:r>
      <w:r>
        <w:rPr>
          <w:rFonts w:hint="eastAsia" w:ascii="仿宋_GB2312" w:eastAsia="仿宋_GB2312" w:cs="仿宋_GB2312"/>
          <w:color w:val="auto"/>
          <w:kern w:val="2"/>
          <w:sz w:val="32"/>
          <w:szCs w:val="32"/>
          <w:vertAlign w:val="baseline"/>
          <w:lang w:val="en-US" w:eastAsia="zh-CN" w:bidi="ar-SA"/>
        </w:rPr>
        <w:t>，</w:t>
      </w:r>
      <w:r>
        <w:rPr>
          <w:rFonts w:hint="eastAsia" w:ascii="仿宋_GB2312" w:eastAsia="仿宋_GB2312" w:cs="仿宋"/>
          <w:color w:val="auto"/>
          <w:spacing w:val="0"/>
          <w:kern w:val="2"/>
          <w:sz w:val="32"/>
          <w:szCs w:val="32"/>
          <w:vertAlign w:val="baseline"/>
          <w:lang w:val="en-US" w:eastAsia="zh-CN" w:bidi="ar-SA"/>
        </w:rPr>
        <w:t>位于</w:t>
      </w:r>
      <w:r>
        <w:rPr>
          <w:rFonts w:hint="eastAsia" w:ascii="仿宋_GB2312" w:eastAsia="仿宋_GB2312" w:cs="仿宋"/>
          <w:spacing w:val="4"/>
          <w:sz w:val="32"/>
          <w:szCs w:val="32"/>
          <w:lang w:eastAsia="zh-CN" w:bidi="ar-SA"/>
        </w:rPr>
        <w:t>苍溪县歧坪镇南阳社区苍溪至巴中高速公路</w:t>
      </w:r>
      <w:r>
        <w:rPr>
          <w:rFonts w:hint="eastAsia" w:ascii="仿宋_GB2312" w:eastAsia="仿宋_GB2312" w:cs="仿宋_GB2312"/>
          <w:sz w:val="32"/>
          <w:szCs w:val="32"/>
          <w:lang w:eastAsia="zh-CN" w:bidi="ar-SA"/>
        </w:rPr>
        <w:t>歧坪服务区（服务区位号</w:t>
      </w:r>
      <w:r>
        <w:rPr>
          <w:rFonts w:hint="eastAsia" w:ascii="仿宋_GB2312" w:eastAsia="仿宋_GB2312" w:cs="仿宋_GB2312"/>
          <w:sz w:val="32"/>
          <w:szCs w:val="32"/>
          <w:lang w:val="en-US" w:eastAsia="zh-CN" w:bidi="ar-SA"/>
        </w:rPr>
        <w:t>K17+930</w:t>
      </w:r>
      <w:r>
        <w:rPr>
          <w:rFonts w:hint="eastAsia" w:ascii="仿宋_GB2312" w:eastAsia="仿宋_GB2312" w:cs="仿宋_GB2312"/>
          <w:sz w:val="32"/>
          <w:szCs w:val="32"/>
          <w:lang w:eastAsia="zh-CN" w:bidi="ar-SA"/>
        </w:rPr>
        <w:t>）</w:t>
      </w:r>
      <w:r>
        <w:rPr>
          <w:rFonts w:hint="eastAsia" w:ascii="仿宋_GB2312" w:eastAsia="仿宋_GB2312" w:cs="仿宋_GB2312"/>
          <w:color w:val="auto"/>
          <w:kern w:val="2"/>
          <w:sz w:val="32"/>
          <w:szCs w:val="32"/>
          <w:vertAlign w:val="baseline"/>
          <w:lang w:val="en-US" w:eastAsia="zh-CN" w:bidi="ar-SA"/>
        </w:rPr>
        <w:t>。两座加油站符合《广元市成品油零售体系“十四五”发展规划》（规划编号分别为HP07、HP08）。同时，</w:t>
      </w:r>
      <w:r>
        <w:rPr>
          <w:rFonts w:hint="eastAsia" w:ascii="仿宋_GB2312" w:eastAsia="仿宋_GB2312" w:cs="仿宋_GB2312"/>
          <w:color w:val="000000"/>
          <w:kern w:val="2"/>
          <w:sz w:val="32"/>
          <w:szCs w:val="32"/>
          <w:lang w:val="en-US" w:eastAsia="zh-CN" w:bidi="ar-SA"/>
        </w:rPr>
        <w:t>四川蜀交能源开发有限公司与四川成绵苍巴高速公路有限责任公司已签订合作协议，合法获得歧坪服务区投资建设及经营权。</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8" w:lineRule="exact"/>
        <w:ind w:left="0" w:right="0" w:firstLine="640" w:firstLineChars="200"/>
        <w:jc w:val="both"/>
        <w:outlineLvl w:val="9"/>
        <w:rPr>
          <w:rFonts w:hint="eastAsia" w:ascii="仿宋_GB2312" w:eastAsia="仿宋_GB2312" w:cs="仿宋_GB2312"/>
          <w:color w:val="auto"/>
          <w:kern w:val="2"/>
          <w:sz w:val="32"/>
          <w:szCs w:val="32"/>
          <w:vertAlign w:val="baseline"/>
          <w:lang w:bidi="ar-SA"/>
        </w:rPr>
      </w:pPr>
      <w:r>
        <w:rPr>
          <w:rFonts w:hint="eastAsia" w:ascii="仿宋_GB2312" w:eastAsia="仿宋_GB2312" w:cs="仿宋_GB2312"/>
          <w:color w:val="auto"/>
          <w:kern w:val="2"/>
          <w:sz w:val="32"/>
          <w:szCs w:val="32"/>
          <w:vertAlign w:val="baseline"/>
          <w:lang w:val="en-US" w:eastAsia="zh-CN" w:bidi="ar-SA"/>
        </w:rPr>
        <w:t>请你局督促该项目业主依据本确认函向自然资源、建设、应急管理、生态环境、气象、市场监管等部门办理相关批准证书及验收合格文件，取得相关合法手续后才能开工建设。建设周期3年（自本文发文之日起）。</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8" w:lineRule="exact"/>
        <w:ind w:left="0" w:right="0" w:firstLine="640" w:firstLineChars="200"/>
        <w:jc w:val="both"/>
        <w:outlineLvl w:val="9"/>
        <w:rPr>
          <w:rFonts w:hint="eastAsia" w:ascii="仿宋_GB2312" w:eastAsia="仿宋_GB2312" w:cs="仿宋_GB2312"/>
          <w:color w:val="auto"/>
          <w:kern w:val="2"/>
          <w:sz w:val="32"/>
          <w:szCs w:val="32"/>
          <w:vertAlign w:val="baseline"/>
          <w:lang w:bidi="ar-SA"/>
        </w:rPr>
      </w:pPr>
      <w:r>
        <w:rPr>
          <w:rFonts w:hint="eastAsia" w:ascii="仿宋_GB2312" w:eastAsia="仿宋_GB2312" w:cs="仿宋_GB2312"/>
          <w:color w:val="auto"/>
          <w:kern w:val="2"/>
          <w:sz w:val="32"/>
          <w:szCs w:val="32"/>
          <w:vertAlign w:val="baseline"/>
          <w:lang w:val="en-US" w:eastAsia="zh-CN" w:bidi="ar-SA"/>
        </w:rPr>
        <w:t>在加油站建成投入经营前，经市级相关部门审查验收合格后，按照</w:t>
      </w:r>
      <w:r>
        <w:rPr>
          <w:rFonts w:hint="eastAsia" w:ascii="仿宋_GB2312" w:eastAsia="仿宋_GB2312" w:cs="Arial"/>
          <w:color w:val="auto"/>
          <w:kern w:val="2"/>
          <w:sz w:val="32"/>
          <w:szCs w:val="32"/>
          <w:vertAlign w:val="baseline"/>
          <w:lang w:val="en-US" w:eastAsia="zh-CN" w:bidi="ar-SA"/>
        </w:rPr>
        <w:t>《四川省成品油零售经营资格管理暂行规定》</w:t>
      </w:r>
      <w:r>
        <w:rPr>
          <w:rFonts w:hint="eastAsia" w:ascii="仿宋_GB2312" w:eastAsia="仿宋_GB2312" w:cs="仿宋_GB2312"/>
          <w:color w:val="auto"/>
          <w:kern w:val="2"/>
          <w:sz w:val="32"/>
          <w:szCs w:val="32"/>
          <w:vertAlign w:val="baseline"/>
          <w:lang w:val="en-US" w:eastAsia="zh-CN" w:bidi="ar-SA"/>
        </w:rPr>
        <w:t>要求，将验收材料及申报文件报市政务服务和资源交易中心市经济和信息化局窗口办理《成品油零售经营批准证书》。</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8" w:lineRule="exact"/>
        <w:ind w:left="0" w:right="0" w:firstLine="640" w:firstLineChars="200"/>
        <w:jc w:val="both"/>
        <w:outlineLvl w:val="9"/>
        <w:rPr>
          <w:rFonts w:hint="eastAsia" w:ascii="仿宋_GB2312" w:eastAsia="仿宋_GB2312" w:cs="仿宋_GB2312"/>
          <w:color w:val="auto"/>
          <w:kern w:val="2"/>
          <w:sz w:val="32"/>
          <w:szCs w:val="32"/>
          <w:vertAlign w:val="baseline"/>
          <w:lang w:bidi="ar-SA"/>
        </w:rPr>
      </w:pPr>
      <w:r>
        <w:rPr>
          <w:rFonts w:hint="eastAsia" w:ascii="仿宋_GB2312" w:eastAsia="仿宋_GB2312" w:cs="仿宋_GB2312"/>
          <w:color w:val="auto"/>
          <w:kern w:val="2"/>
          <w:sz w:val="32"/>
          <w:szCs w:val="32"/>
          <w:vertAlign w:val="baseline"/>
          <w:lang w:val="en-US" w:eastAsia="zh-CN" w:bidi="ar-SA"/>
        </w:rPr>
        <w:t>此函。</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8" w:lineRule="exact"/>
        <w:ind w:left="0" w:right="0" w:firstLine="640" w:firstLineChars="200"/>
        <w:jc w:val="both"/>
        <w:outlineLvl w:val="9"/>
        <w:rPr>
          <w:rFonts w:hint="eastAsia" w:ascii="仿宋_GB2312" w:eastAsia="仿宋_GB2312" w:cs="仿宋_GB2312"/>
          <w:color w:val="auto"/>
          <w:kern w:val="2"/>
          <w:sz w:val="32"/>
          <w:szCs w:val="32"/>
          <w:vertAlign w:val="baseline"/>
          <w:lang w:bidi="ar-SA"/>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8" w:lineRule="exact"/>
        <w:ind w:left="0" w:right="0" w:firstLine="640" w:firstLineChars="200"/>
        <w:jc w:val="both"/>
        <w:outlineLvl w:val="9"/>
        <w:rPr>
          <w:rFonts w:hint="eastAsia" w:ascii="仿宋_GB2312" w:eastAsia="仿宋_GB2312" w:cs="仿宋_GB2312"/>
          <w:color w:val="auto"/>
          <w:kern w:val="2"/>
          <w:sz w:val="32"/>
          <w:szCs w:val="32"/>
          <w:vertAlign w:val="baseline"/>
          <w:lang w:bidi="ar-SA"/>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8" w:lineRule="exact"/>
        <w:ind w:left="0" w:right="0" w:firstLine="640" w:firstLineChars="200"/>
        <w:jc w:val="both"/>
        <w:outlineLvl w:val="9"/>
        <w:rPr>
          <w:rFonts w:hint="eastAsia" w:ascii="仿宋_GB2312" w:eastAsia="仿宋_GB2312" w:cs="仿宋_GB2312"/>
          <w:color w:val="auto"/>
          <w:kern w:val="2"/>
          <w:sz w:val="32"/>
          <w:szCs w:val="32"/>
          <w:vertAlign w:val="baseline"/>
          <w:lang w:bidi="ar-SA"/>
        </w:rPr>
      </w:pPr>
      <w:r>
        <w:rPr>
          <w:rFonts w:hint="eastAsia" w:ascii="仿宋_GB2312" w:eastAsia="仿宋_GB2312" w:cs="仿宋_GB2312"/>
          <w:color w:val="auto"/>
          <w:kern w:val="2"/>
          <w:sz w:val="32"/>
          <w:szCs w:val="32"/>
          <w:vertAlign w:val="baseline"/>
          <w:lang w:val="en-US" w:eastAsia="zh-CN" w:bidi="ar-SA"/>
        </w:rPr>
        <w:t xml:space="preserve">                       广元市经济和信息化局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8" w:lineRule="exact"/>
        <w:ind w:left="0" w:right="0" w:firstLine="640" w:firstLineChars="200"/>
        <w:jc w:val="both"/>
        <w:outlineLvl w:val="9"/>
        <w:rPr>
          <w:rFonts w:hint="eastAsia" w:ascii="仿宋_GB2312" w:eastAsia="仿宋_GB2312" w:cs="仿宋_GB2312"/>
          <w:color w:val="auto"/>
          <w:kern w:val="2"/>
          <w:sz w:val="32"/>
          <w:szCs w:val="32"/>
          <w:vertAlign w:val="baseline"/>
          <w:lang w:bidi="ar-SA"/>
        </w:rPr>
      </w:pPr>
      <w:r>
        <w:rPr>
          <w:rFonts w:hint="eastAsia" w:ascii="仿宋_GB2312" w:eastAsia="仿宋_GB2312" w:cs="仿宋_GB2312"/>
          <w:color w:val="auto"/>
          <w:kern w:val="2"/>
          <w:sz w:val="32"/>
          <w:szCs w:val="32"/>
          <w:vertAlign w:val="baseline"/>
          <w:lang w:val="en-US" w:eastAsia="zh-CN" w:bidi="ar-SA"/>
        </w:rPr>
        <w:t xml:space="preserve">                            2024年8月22</w:t>
      </w:r>
      <w:bookmarkStart w:id="0" w:name="_GoBack"/>
      <w:bookmarkEnd w:id="0"/>
      <w:r>
        <w:rPr>
          <w:rFonts w:hint="eastAsia" w:ascii="仿宋_GB2312" w:eastAsia="仿宋_GB2312" w:cs="仿宋_GB2312"/>
          <w:color w:val="auto"/>
          <w:kern w:val="2"/>
          <w:sz w:val="32"/>
          <w:szCs w:val="32"/>
          <w:vertAlign w:val="baseline"/>
          <w:lang w:val="en-US" w:eastAsia="zh-CN" w:bidi="ar-SA"/>
        </w:rPr>
        <w:t>日</w:t>
      </w:r>
    </w:p>
    <w:p>
      <w:pPr>
        <w:rPr>
          <w:rFonts w:hint="eastAsia"/>
          <w:szCs w:val="24"/>
        </w:rPr>
      </w:pPr>
    </w:p>
    <w:p/>
    <w:sectPr>
      <w:headerReference r:id="rId5" w:type="first"/>
      <w:headerReference r:id="rId3"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3F00" w:csb1="01000000"/>
  </w:font>
  <w:font w:name="仿宋_GB2312">
    <w:panose1 w:val="02010609030101010101"/>
    <w:charset w:val="86"/>
    <w:family w:val="modern"/>
    <w:pitch w:val="default"/>
    <w:sig w:usb0="00000001" w:usb1="080E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script"/>
    <w:pitch w:val="default"/>
    <w:sig w:usb0="A00002BF" w:usb1="184F6CFA" w:usb2="00000012" w:usb3="00000000" w:csb0="00040001" w:csb1="00000000"/>
  </w:font>
  <w:font w:name="仿宋">
    <w:altName w:val="仿宋_GB2312"/>
    <w:panose1 w:val="02010609060101010101"/>
    <w:charset w:val="00"/>
    <w:family w:val="modern"/>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drawing>
        <wp:anchor distT="0" distB="0" distL="85090" distR="85090" simplePos="0" relativeHeight="251660288" behindDoc="1" locked="0" layoutInCell="0" allowOverlap="1">
          <wp:simplePos x="0" y="0"/>
          <wp:positionH relativeFrom="margin">
            <wp:align>center</wp:align>
          </wp:positionH>
          <wp:positionV relativeFrom="margin">
            <wp:align>center</wp:align>
          </wp:positionV>
          <wp:extent cx="5610225" cy="8096250"/>
          <wp:effectExtent l="0" t="0" r="0" b="0"/>
          <wp:wrapNone/>
          <wp:docPr id="2" name="WordPictureWatermark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 descr="0.png"/>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85090" distR="85090" simplePos="0" relativeHeight="251659264" behindDoc="1" locked="0" layoutInCell="0" allowOverlap="1">
          <wp:simplePos x="0" y="0"/>
          <wp:positionH relativeFrom="margin">
            <wp:align>center</wp:align>
          </wp:positionH>
          <wp:positionV relativeFrom="margin">
            <wp:align>center</wp:align>
          </wp:positionV>
          <wp:extent cx="5610225" cy="8096250"/>
          <wp:effectExtent l="0" t="0" r="0" b="0"/>
          <wp:wrapNone/>
          <wp:docPr id="1" name="WordPictureWatermark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0.png"/>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drawing>
        <wp:anchor distT="0" distB="0" distL="85090" distR="85090" simplePos="0" relativeHeight="251661312" behindDoc="1" locked="0" layoutInCell="0" allowOverlap="1">
          <wp:simplePos x="0" y="0"/>
          <wp:positionH relativeFrom="margin">
            <wp:align>center</wp:align>
          </wp:positionH>
          <wp:positionV relativeFrom="margin">
            <wp:align>center</wp:align>
          </wp:positionV>
          <wp:extent cx="5610225" cy="8096250"/>
          <wp:effectExtent l="0" t="0" r="0" b="0"/>
          <wp:wrapNone/>
          <wp:docPr id="3" name="WordPictureWatermark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 descr="0.png"/>
                  <pic:cNvPicPr>
                    <a:picLocks noChangeAspect="1"/>
                  </pic:cNvPicPr>
                </pic:nvPicPr>
                <pic:blipFill>
                  <a:blip r:embed="rId1">
                    <a:lum bright="70001" contrast="-70000"/>
                  </a:blip>
                  <a:stretch>
                    <a:fillRect/>
                  </a:stretch>
                </pic:blipFill>
                <pic:spPr>
                  <a:xfrm>
                    <a:off x="0" y="0"/>
                    <a:ext cx="5610225" cy="809625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7732E5"/>
    <w:rsid w:val="77CD2463"/>
    <w:rsid w:val="B47EF8C9"/>
    <w:rsid w:val="BDBFC9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widowControl w:val="0"/>
      <w:suppressAutoHyphens/>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uppressAutoHyphen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uppressAutoHyphen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caption"/>
    <w:basedOn w:val="1"/>
    <w:qFormat/>
    <w:uiPriority w:val="0"/>
    <w:pPr>
      <w:widowControl w:val="0"/>
      <w:suppressLineNumbers/>
      <w:suppressAutoHyphens/>
      <w:spacing w:before="120" w:after="120"/>
    </w:pPr>
    <w:rPr>
      <w:i/>
      <w:iCs/>
      <w:sz w:val="24"/>
      <w:szCs w:val="24"/>
    </w:rPr>
  </w:style>
  <w:style w:type="paragraph" w:styleId="6">
    <w:name w:val="Body Text"/>
    <w:basedOn w:val="1"/>
    <w:qFormat/>
    <w:uiPriority w:val="0"/>
    <w:pPr>
      <w:spacing w:before="0" w:after="140" w:line="276" w:lineRule="auto"/>
    </w:p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List"/>
    <w:basedOn w:val="6"/>
    <w:qFormat/>
    <w:uiPriority w:val="0"/>
  </w:style>
  <w:style w:type="character" w:customStyle="1" w:styleId="12">
    <w:name w:val="默认段落字体1"/>
    <w:qFormat/>
    <w:uiPriority w:val="0"/>
  </w:style>
  <w:style w:type="paragraph" w:customStyle="1" w:styleId="13">
    <w:name w:val="Heading"/>
    <w:basedOn w:val="1"/>
    <w:next w:val="6"/>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user</dc:creator>
  <cp:lastModifiedBy>wwl</cp:lastModifiedBy>
  <dcterms:modified xsi:type="dcterms:W3CDTF">2024-08-23T08:24:50Z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34596215629BC21153D5C7662DE2B257</vt:lpwstr>
  </property>
</Properties>
</file>