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hd w:val="clear" w:color="auto" w:fill="FFFFFF"/>
        <w:suppressAutoHyphens/>
        <w:spacing w:line="580" w:lineRule="atLeast"/>
        <w:textAlignment w:val="center"/>
        <w:rPr>
          <w:rFonts w:ascii="方正小标宋简体" w:eastAsia="方正小标宋简体" w:cs="方正小标宋简体" w:hAnsi="方正小标宋简体"/>
          <w:color w:val="000000"/>
          <w:kern w:val="0"/>
          <w:sz w:val="44"/>
          <w:szCs w:val="44"/>
          <w:shd w:val="clear" w:color="auto" w:fill="FFFFFF"/>
        </w:rPr>
      </w:pPr>
    </w:p>
    <w:p>
      <w:pPr>
        <w:widowControl/>
        <w:shd w:val="clear" w:color="auto" w:fill="FFFFFF"/>
        <w:suppressAutoHyphens/>
        <w:spacing w:line="580" w:lineRule="atLeast"/>
        <w:textAlignment w:val="center"/>
        <w:rPr>
          <w:rFonts w:ascii="方正小标宋简体" w:eastAsia="方正小标宋简体" w:cs="方正小标宋简体" w:hAnsi="方正小标宋简体"/>
          <w:color w:val="000000"/>
          <w:kern w:val="0"/>
          <w:sz w:val="44"/>
          <w:szCs w:val="44"/>
          <w:shd w:val="clear" w:color="auto" w:fill="FFFFFF"/>
        </w:rPr>
      </w:pPr>
    </w:p>
    <w:p>
      <w:pPr>
        <w:widowControl/>
        <w:shd w:val="clear" w:color="auto" w:fill="FFFFFF"/>
        <w:suppressAutoHyphens/>
        <w:spacing w:line="580" w:lineRule="atLeast"/>
        <w:textAlignment w:val="center"/>
        <w:rPr>
          <w:rFonts w:ascii="方正小标宋简体" w:eastAsia="方正小标宋简体" w:cs="方正小标宋简体" w:hAnsi="方正小标宋简体"/>
          <w:color w:val="000000"/>
          <w:kern w:val="0"/>
          <w:sz w:val="44"/>
          <w:szCs w:val="44"/>
          <w:shd w:val="clear" w:color="auto" w:fill="FFFFFF"/>
        </w:rPr>
      </w:pPr>
    </w:p>
    <w:p>
      <w:pPr>
        <w:widowControl/>
        <w:shd w:val="clear" w:color="auto" w:fill="FFFFFF"/>
        <w:suppressAutoHyphens/>
        <w:spacing w:line="580" w:lineRule="atLeast"/>
        <w:jc w:val="center"/>
        <w:textAlignment w:val="center"/>
        <w:rPr>
          <w:rFonts w:ascii="方正小标宋简体" w:eastAsia="方正小标宋简体" w:cs="方正小标宋简体" w:hAnsi="方正小标宋简体"/>
          <w:color w:val="000000"/>
          <w:sz w:val="68"/>
          <w:szCs w:val="68"/>
        </w:rPr>
      </w:pPr>
      <w:r>
        <w:rPr>
          <w:rFonts w:ascii="方正小标宋简体" w:eastAsia="方正小标宋简体" w:cs="方正小标宋简体" w:hAnsi="方正小标宋简体" w:hint="eastAsia"/>
          <w:color w:val="000000"/>
          <w:sz w:val="68"/>
          <w:szCs w:val="68"/>
        </w:rPr>
        <w:t>广元市经济和信息化局</w:t>
      </w:r>
    </w:p>
    <w:p>
      <w:pPr>
        <w:widowControl/>
        <w:shd w:val="clear" w:color="auto" w:fill="FFFFFF"/>
        <w:suppressAutoHyphens/>
        <w:spacing w:line="580" w:lineRule="atLeast"/>
        <w:jc w:val="center"/>
        <w:textAlignment w:val="center"/>
        <w:rPr>
          <w:rFonts w:ascii="方正小标宋简体" w:eastAsia="方正小标宋简体" w:cs="方正小标宋简体" w:hAnsi="方正小标宋简体" w:hint="eastAsia"/>
          <w:color w:val="000000"/>
          <w:kern w:val="0"/>
          <w:sz w:val="68"/>
          <w:szCs w:val="68"/>
          <w:shd w:val="clear" w:color="auto" w:fill="FFFFFF"/>
          <w:lang w:eastAsia="zh-CN"/>
        </w:rPr>
      </w:pPr>
      <w:r>
        <w:rPr>
          <w:rFonts w:ascii="方正小标宋简体" w:eastAsia="方正小标宋简体" w:cs="方正小标宋简体" w:hAnsi="方正小标宋简体"/>
          <w:color w:val="000000"/>
          <w:kern w:val="0"/>
          <w:sz w:val="68"/>
          <w:szCs w:val="68"/>
          <w:shd w:val="clear" w:color="auto" w:fill="FFFFFF"/>
        </w:rPr>
        <w:t>2025</w:t>
      </w:r>
      <w:r>
        <w:rPr>
          <w:rFonts w:ascii="方正小标宋简体" w:eastAsia="方正小标宋简体" w:cs="方正小标宋简体" w:hAnsi="方正小标宋简体" w:hint="eastAsia"/>
          <w:color w:val="000000"/>
          <w:kern w:val="0"/>
          <w:sz w:val="68"/>
          <w:szCs w:val="68"/>
          <w:shd w:val="clear" w:color="auto" w:fill="FFFFFF"/>
        </w:rPr>
        <w:t>年部门预算</w:t>
      </w:r>
      <w:r>
        <w:rPr>
          <w:rFonts w:ascii="方正小标宋简体" w:eastAsia="方正小标宋简体" w:cs="方正小标宋简体" w:hAnsi="方正小标宋简体" w:hint="eastAsia"/>
          <w:color w:val="000000"/>
          <w:kern w:val="0"/>
          <w:sz w:val="68"/>
          <w:szCs w:val="68"/>
          <w:shd w:val="clear" w:color="auto" w:fill="FFFFFF"/>
          <w:lang w:eastAsia="zh-CN"/>
        </w:rPr>
        <w:t>公开</w:t>
      </w:r>
    </w:p>
    <w:p>
      <w:pPr>
        <w:widowControl/>
        <w:shd w:val="clear" w:color="auto" w:fill="FFFFFF"/>
        <w:suppressAutoHyphens/>
        <w:spacing w:line="580" w:lineRule="atLeast"/>
        <w:jc w:val="center"/>
        <w:rPr>
          <w:rFonts w:ascii="仿宋_GB2312" w:eastAsia="仿宋_GB2312" w:cs="仿宋_GB2312" w:hAnsi="仿宋_GB2312"/>
          <w:b/>
          <w:bCs/>
          <w:color w:val="000000"/>
          <w:kern w:val="0"/>
          <w:sz w:val="32"/>
          <w:szCs w:val="32"/>
          <w:shd w:val="clear" w:color="auto" w:fill="FFFFFF"/>
          <w:highlight w:val="yellow"/>
        </w:rPr>
      </w:pPr>
    </w:p>
    <w:p>
      <w:pPr>
        <w:widowControl/>
        <w:shd w:val="clear" w:color="auto" w:fill="FFFFFF"/>
        <w:suppressAutoHyphens/>
        <w:spacing w:line="580" w:lineRule="atLeast"/>
        <w:jc w:val="center"/>
        <w:rPr>
          <w:rFonts w:ascii="仿宋_GB2312" w:eastAsia="仿宋_GB2312" w:cs="仿宋_GB2312" w:hAnsi="仿宋_GB2312"/>
          <w:b/>
          <w:bCs/>
          <w:color w:val="000000"/>
          <w:kern w:val="0"/>
          <w:sz w:val="32"/>
          <w:szCs w:val="32"/>
          <w:shd w:val="clear" w:color="auto" w:fill="FFFFFF"/>
          <w:highlight w:val="yellow"/>
        </w:rPr>
      </w:pPr>
    </w:p>
    <w:p>
      <w:pPr>
        <w:widowControl/>
        <w:shd w:val="clear" w:color="auto" w:fill="FFFFFF"/>
        <w:suppressAutoHyphens/>
        <w:spacing w:line="580" w:lineRule="atLeast"/>
        <w:jc w:val="center"/>
        <w:rPr>
          <w:rFonts w:ascii="仿宋_GB2312" w:eastAsia="仿宋_GB2312" w:cs="仿宋_GB2312" w:hAnsi="仿宋_GB2312"/>
          <w:b/>
          <w:bCs/>
          <w:color w:val="000000"/>
          <w:kern w:val="0"/>
          <w:sz w:val="32"/>
          <w:szCs w:val="32"/>
          <w:shd w:val="clear" w:color="auto" w:fill="FFFFFF"/>
          <w:highlight w:val="yellow"/>
        </w:rPr>
      </w:pPr>
    </w:p>
    <w:p>
      <w:pPr>
        <w:widowControl/>
        <w:shd w:val="clear" w:color="auto" w:fill="FFFFFF"/>
        <w:suppressAutoHyphens/>
        <w:spacing w:line="580" w:lineRule="atLeast"/>
        <w:jc w:val="center"/>
        <w:rPr>
          <w:rFonts w:ascii="仿宋_GB2312" w:eastAsia="仿宋_GB2312" w:cs="仿宋_GB2312" w:hAnsi="仿宋_GB2312"/>
          <w:b/>
          <w:bCs/>
          <w:color w:val="000000"/>
          <w:kern w:val="0"/>
          <w:sz w:val="32"/>
          <w:szCs w:val="32"/>
          <w:shd w:val="clear" w:color="auto" w:fill="FFFFFF"/>
          <w:highlight w:val="yellow"/>
        </w:rPr>
      </w:pPr>
    </w:p>
    <w:p>
      <w:pPr>
        <w:widowControl/>
        <w:shd w:val="clear" w:color="auto" w:fill="FFFFFF"/>
        <w:suppressAutoHyphens/>
        <w:spacing w:line="580" w:lineRule="atLeast"/>
        <w:jc w:val="center"/>
        <w:rPr>
          <w:rFonts w:ascii="仿宋_GB2312" w:eastAsia="仿宋_GB2312" w:cs="仿宋_GB2312" w:hAnsi="仿宋_GB2312"/>
          <w:b/>
          <w:bCs/>
          <w:color w:val="000000"/>
          <w:kern w:val="0"/>
          <w:sz w:val="32"/>
          <w:szCs w:val="32"/>
          <w:shd w:val="clear" w:color="auto" w:fill="FFFFFF"/>
          <w:highlight w:val="yellow"/>
        </w:rPr>
      </w:pPr>
    </w:p>
    <w:p>
      <w:pPr>
        <w:widowControl/>
        <w:shd w:val="clear" w:color="auto" w:fill="FFFFFF"/>
        <w:suppressAutoHyphens/>
        <w:spacing w:line="580" w:lineRule="atLeast"/>
        <w:jc w:val="center"/>
        <w:rPr>
          <w:rFonts w:ascii="仿宋_GB2312" w:eastAsia="仿宋_GB2312" w:cs="仿宋_GB2312" w:hAnsi="仿宋_GB2312"/>
          <w:b/>
          <w:bCs/>
          <w:color w:val="000000"/>
          <w:kern w:val="0"/>
          <w:sz w:val="32"/>
          <w:szCs w:val="32"/>
          <w:shd w:val="clear" w:color="auto" w:fill="FFFFFF"/>
          <w:highlight w:val="yellow"/>
        </w:rPr>
      </w:pPr>
      <w:bookmarkStart w:id="0" w:name="_GoBack"/>
      <w:bookmarkEnd w:id="0"/>
    </w:p>
    <w:p>
      <w:pPr>
        <w:widowControl/>
        <w:shd w:val="clear" w:color="auto" w:fill="FFFFFF"/>
        <w:suppressAutoHyphens/>
        <w:spacing w:line="580" w:lineRule="atLeast"/>
        <w:jc w:val="center"/>
        <w:rPr>
          <w:rFonts w:ascii="仿宋_GB2312" w:eastAsia="仿宋_GB2312" w:cs="仿宋_GB2312" w:hAnsi="仿宋_GB2312"/>
          <w:b/>
          <w:bCs/>
          <w:color w:val="000000"/>
          <w:kern w:val="0"/>
          <w:sz w:val="32"/>
          <w:szCs w:val="32"/>
          <w:shd w:val="clear" w:color="auto" w:fill="FFFFFF"/>
          <w:highlight w:val="yellow"/>
        </w:rPr>
      </w:pPr>
    </w:p>
    <w:p>
      <w:pPr>
        <w:widowControl/>
        <w:shd w:val="clear" w:color="auto" w:fill="FFFFFF"/>
        <w:suppressAutoHyphens/>
        <w:spacing w:line="580" w:lineRule="atLeast"/>
        <w:jc w:val="center"/>
        <w:rPr>
          <w:rFonts w:ascii="仿宋_GB2312" w:eastAsia="仿宋_GB2312" w:cs="仿宋_GB2312" w:hAnsi="仿宋_GB2312"/>
          <w:b/>
          <w:bCs/>
          <w:color w:val="000000"/>
          <w:kern w:val="0"/>
          <w:sz w:val="32"/>
          <w:szCs w:val="32"/>
          <w:shd w:val="clear" w:color="auto" w:fill="FFFFFF"/>
          <w:highlight w:val="yellow"/>
        </w:rPr>
      </w:pPr>
    </w:p>
    <w:p>
      <w:pPr>
        <w:widowControl/>
        <w:shd w:val="clear" w:color="auto" w:fill="FFFFFF"/>
        <w:suppressAutoHyphens/>
        <w:spacing w:line="580" w:lineRule="atLeast"/>
        <w:jc w:val="center"/>
        <w:rPr>
          <w:rFonts w:ascii="仿宋_GB2312" w:eastAsia="仿宋_GB2312" w:cs="仿宋_GB2312" w:hAnsi="仿宋_GB2312"/>
          <w:b/>
          <w:bCs/>
          <w:color w:val="000000"/>
          <w:kern w:val="0"/>
          <w:sz w:val="32"/>
          <w:szCs w:val="32"/>
          <w:shd w:val="clear" w:color="auto" w:fill="FFFFFF"/>
          <w:highlight w:val="yellow"/>
        </w:rPr>
      </w:pPr>
    </w:p>
    <w:p>
      <w:pPr>
        <w:widowControl/>
        <w:shd w:val="clear" w:color="auto" w:fill="FFFFFF"/>
        <w:suppressAutoHyphens/>
        <w:spacing w:line="580" w:lineRule="atLeast"/>
        <w:jc w:val="center"/>
        <w:rPr>
          <w:rFonts w:ascii="仿宋_GB2312" w:eastAsia="仿宋_GB2312" w:cs="仿宋_GB2312" w:hAnsi="仿宋_GB2312"/>
          <w:b/>
          <w:bCs/>
          <w:color w:val="000000"/>
          <w:kern w:val="0"/>
          <w:sz w:val="32"/>
          <w:szCs w:val="32"/>
          <w:shd w:val="clear" w:color="auto" w:fill="FFFFFF"/>
          <w:highlight w:val="yellow"/>
        </w:rPr>
      </w:pPr>
    </w:p>
    <w:p>
      <w:pPr>
        <w:widowControl/>
        <w:shd w:val="clear" w:color="auto" w:fill="FFFFFF"/>
        <w:suppressAutoHyphens/>
        <w:spacing w:line="580" w:lineRule="atLeast"/>
        <w:jc w:val="center"/>
        <w:rPr>
          <w:rFonts w:ascii="仿宋_GB2312" w:eastAsia="仿宋_GB2312" w:cs="仿宋_GB2312" w:hAnsi="仿宋_GB2312"/>
          <w:b/>
          <w:bCs/>
          <w:color w:val="000000"/>
          <w:kern w:val="0"/>
          <w:sz w:val="32"/>
          <w:szCs w:val="32"/>
          <w:shd w:val="clear" w:color="auto" w:fill="FFFFFF"/>
          <w:highlight w:val="yellow"/>
        </w:rPr>
      </w:pPr>
    </w:p>
    <w:p>
      <w:pPr>
        <w:widowControl/>
        <w:shd w:val="clear" w:color="auto" w:fill="FFFFFF"/>
        <w:suppressAutoHyphens/>
        <w:spacing w:line="580" w:lineRule="atLeast"/>
        <w:jc w:val="center"/>
        <w:rPr>
          <w:rFonts w:ascii="仿宋_GB2312" w:eastAsia="仿宋_GB2312" w:cs="仿宋_GB2312" w:hAnsi="仿宋_GB2312"/>
          <w:b/>
          <w:bCs/>
          <w:color w:val="000000"/>
          <w:kern w:val="0"/>
          <w:sz w:val="32"/>
          <w:szCs w:val="32"/>
          <w:shd w:val="clear" w:color="auto" w:fill="FFFFFF"/>
          <w:highlight w:val="yellow"/>
        </w:rPr>
      </w:pPr>
    </w:p>
    <w:p>
      <w:pPr>
        <w:adjustRightInd w:val="0"/>
        <w:snapToGrid w:val="0"/>
        <w:jc w:val="center"/>
        <w:rPr>
          <w:rFonts w:ascii="方正小标宋简体" w:eastAsia="方正小标宋简体" w:cs="黑体" w:hAnsi="黑体"/>
          <w:color w:val="000000"/>
          <w:kern w:val="0"/>
          <w:sz w:val="44"/>
          <w:szCs w:val="44"/>
          <w:shd w:val="clear" w:color="auto" w:fill="FFFFFF"/>
        </w:rPr>
      </w:pPr>
      <w:r>
        <w:rPr>
          <w:rFonts w:ascii="方正小标宋简体" w:eastAsia="方正小标宋简体" w:cs="黑体" w:hAnsi="黑体" w:hint="eastAsia"/>
          <w:color w:val="000000"/>
          <w:kern w:val="0"/>
          <w:sz w:val="44"/>
          <w:szCs w:val="44"/>
          <w:shd w:val="clear" w:color="auto" w:fill="FFFFFF"/>
        </w:rPr>
        <w:t>目</w:t>
      </w:r>
      <w:r>
        <w:rPr>
          <w:rFonts w:ascii="方正小标宋简体" w:eastAsia="方正小标宋简体" w:cs="黑体" w:hAnsi="黑体"/>
          <w:color w:val="000000"/>
          <w:kern w:val="0"/>
          <w:sz w:val="44"/>
          <w:szCs w:val="44"/>
          <w:shd w:val="clear" w:color="auto" w:fill="FFFFFF"/>
        </w:rPr>
        <w:t xml:space="preserve">   </w:t>
      </w:r>
      <w:r>
        <w:rPr>
          <w:rFonts w:ascii="方正小标宋简体" w:eastAsia="方正小标宋简体" w:cs="黑体" w:hAnsi="黑体" w:hint="eastAsia"/>
          <w:color w:val="000000"/>
          <w:kern w:val="0"/>
          <w:sz w:val="44"/>
          <w:szCs w:val="44"/>
          <w:shd w:val="clear" w:color="auto" w:fill="FFFFFF"/>
        </w:rPr>
        <w:t>录</w:t>
      </w:r>
    </w:p>
    <w:p>
      <w:pPr>
        <w:adjustRightInd w:val="0"/>
        <w:snapToGrid w:val="0"/>
        <w:jc w:val="center"/>
        <w:rPr>
          <w:rFonts w:ascii="黑体" w:eastAsia="黑体" w:cs="黑体" w:hAnsi="黑体"/>
          <w:color w:val="000000"/>
          <w:kern w:val="0"/>
          <w:sz w:val="32"/>
          <w:szCs w:val="32"/>
          <w:shd w:val="clear" w:color="auto" w:fill="FFFFFF"/>
        </w:rPr>
      </w:pPr>
    </w:p>
    <w:p>
      <w:pPr>
        <w:numPr>
          <w:ilvl w:val="0"/>
          <w:numId w:val="1"/>
        </w:numPr>
        <w:tabs>
          <w:tab w:val="left" w:leader="dot" w:pos="8190"/>
        </w:tabs>
        <w:spacing w:line="530" w:lineRule="exact"/>
        <w:rPr>
          <w:rFonts w:ascii="仿宋_GB2312" w:eastAsia="仿宋_GB2312" w:cs="黑体" w:hAnsi="黑体"/>
          <w:color w:val="000000"/>
          <w:kern w:val="0"/>
          <w:sz w:val="30"/>
          <w:szCs w:val="30"/>
          <w:shd w:val="clear" w:color="auto" w:fill="FFFFFF"/>
        </w:rPr>
      </w:pPr>
      <w:r>
        <w:rPr>
          <w:rFonts w:ascii="仿宋_GB2312" w:eastAsia="仿宋_GB2312" w:cs="黑体" w:hAnsi="黑体" w:hint="eastAsia"/>
          <w:color w:val="000000"/>
          <w:kern w:val="0"/>
          <w:sz w:val="30"/>
          <w:szCs w:val="30"/>
          <w:shd w:val="clear" w:color="auto" w:fill="FFFFFF"/>
        </w:rPr>
        <w:t>广元市经济和信息化局概况</w:t>
      </w:r>
    </w:p>
    <w:p>
      <w:pPr>
        <w:numPr>
          <w:ilvl w:val="0"/>
          <w:numId w:val="2"/>
        </w:numPr>
        <w:tabs>
          <w:tab w:val="left" w:leader="dot" w:pos="8190"/>
        </w:tabs>
        <w:spacing w:line="530" w:lineRule="exact"/>
        <w:ind w:left="0" w:firstLineChars="100" w:firstLine="300"/>
        <w:rPr>
          <w:rFonts w:ascii="仿宋_GB2312" w:eastAsia="仿宋_GB2312" w:cs="黑体" w:hAnsi="黑体"/>
          <w:color w:val="000000"/>
          <w:kern w:val="0"/>
          <w:sz w:val="30"/>
          <w:szCs w:val="30"/>
          <w:shd w:val="clear" w:color="auto" w:fill="FFFFFF"/>
        </w:rPr>
      </w:pPr>
      <w:r>
        <w:rPr>
          <w:rFonts w:ascii="仿宋_GB2312" w:eastAsia="仿宋_GB2312" w:cs="黑体" w:hAnsi="黑体" w:hint="eastAsia"/>
          <w:color w:val="000000"/>
          <w:kern w:val="0"/>
          <w:sz w:val="30"/>
          <w:szCs w:val="30"/>
          <w:shd w:val="clear" w:color="auto" w:fill="FFFFFF"/>
        </w:rPr>
        <w:t>基本职能及主要工作</w:t>
      </w:r>
    </w:p>
    <w:p>
      <w:pPr>
        <w:numPr>
          <w:ilvl w:val="0"/>
          <w:numId w:val="2"/>
        </w:numPr>
        <w:tabs>
          <w:tab w:val="left" w:leader="dot" w:pos="8190"/>
        </w:tabs>
        <w:spacing w:line="530" w:lineRule="exact"/>
        <w:ind w:left="0" w:firstLineChars="100" w:firstLine="300"/>
        <w:rPr>
          <w:rFonts w:ascii="仿宋_GB2312" w:eastAsia="仿宋_GB2312" w:cs="黑体" w:hAnsi="黑体"/>
          <w:color w:val="000000"/>
          <w:kern w:val="0"/>
          <w:sz w:val="30"/>
          <w:szCs w:val="30"/>
          <w:shd w:val="clear" w:color="auto" w:fill="FFFFFF"/>
        </w:rPr>
      </w:pPr>
      <w:r>
        <w:rPr>
          <w:rFonts w:ascii="仿宋_GB2312" w:eastAsia="仿宋_GB2312" w:cs="黑体" w:hAnsi="黑体" w:hint="eastAsia"/>
          <w:color w:val="000000"/>
          <w:kern w:val="0"/>
          <w:sz w:val="30"/>
          <w:szCs w:val="30"/>
          <w:shd w:val="clear" w:color="auto" w:fill="FFFFFF"/>
        </w:rPr>
        <w:t>部门预算单位构成</w:t>
      </w:r>
    </w:p>
    <w:p>
      <w:pPr>
        <w:numPr>
          <w:ilvl w:val="0"/>
          <w:numId w:val="1"/>
        </w:numPr>
        <w:tabs>
          <w:tab w:val="left" w:leader="dot" w:pos="8190"/>
        </w:tabs>
        <w:spacing w:line="530" w:lineRule="exact"/>
        <w:rPr>
          <w:rFonts w:ascii="仿宋_GB2312" w:eastAsia="仿宋_GB2312" w:cs="黑体" w:hAnsi="黑体"/>
          <w:color w:val="000000"/>
          <w:kern w:val="0"/>
          <w:sz w:val="30"/>
          <w:szCs w:val="30"/>
          <w:shd w:val="clear" w:color="auto" w:fill="FFFFFF"/>
        </w:rPr>
      </w:pPr>
      <w:r>
        <w:rPr>
          <w:rFonts w:ascii="仿宋_GB2312" w:eastAsia="仿宋_GB2312" w:cs="黑体" w:hAnsi="黑体" w:hint="eastAsia"/>
          <w:color w:val="000000"/>
          <w:kern w:val="0"/>
          <w:sz w:val="30"/>
          <w:szCs w:val="30"/>
          <w:shd w:val="clear" w:color="auto" w:fill="FFFFFF"/>
        </w:rPr>
        <w:t>广元市经济和信息化局</w:t>
      </w:r>
      <w:r>
        <w:rPr>
          <w:rFonts w:ascii="仿宋_GB2312" w:eastAsia="仿宋_GB2312" w:cs="黑体" w:hAnsi="黑体"/>
          <w:color w:val="000000"/>
          <w:kern w:val="0"/>
          <w:sz w:val="30"/>
          <w:szCs w:val="30"/>
          <w:shd w:val="clear" w:color="auto" w:fill="FFFFFF"/>
        </w:rPr>
        <w:t>2025</w:t>
      </w:r>
      <w:r>
        <w:rPr>
          <w:rFonts w:ascii="仿宋_GB2312" w:eastAsia="仿宋_GB2312" w:cs="黑体" w:hAnsi="黑体" w:hint="eastAsia"/>
          <w:color w:val="000000"/>
          <w:kern w:val="0"/>
          <w:sz w:val="30"/>
          <w:szCs w:val="30"/>
          <w:shd w:val="clear" w:color="auto" w:fill="FFFFFF"/>
        </w:rPr>
        <w:t>年部门预算情况说明</w:t>
      </w:r>
      <w:r>
        <w:rPr>
          <w:rFonts w:ascii="仿宋_GB2312" w:eastAsia="仿宋_GB2312" w:cs="黑体" w:hAnsi="黑体"/>
          <w:color w:val="000000"/>
          <w:kern w:val="0"/>
          <w:sz w:val="30"/>
          <w:szCs w:val="30"/>
          <w:shd w:val="clear" w:color="auto" w:fill="FFFFFF"/>
        </w:rPr>
        <w:t xml:space="preserve">  </w:t>
      </w:r>
    </w:p>
    <w:p>
      <w:pPr>
        <w:numPr>
          <w:ilvl w:val="0"/>
          <w:numId w:val="1"/>
        </w:numPr>
        <w:tabs>
          <w:tab w:val="left" w:leader="dot" w:pos="8190"/>
        </w:tabs>
        <w:spacing w:line="530" w:lineRule="exact"/>
        <w:rPr>
          <w:rFonts w:ascii="仿宋_GB2312" w:eastAsia="仿宋_GB2312" w:cs="黑体" w:hAnsi="黑体"/>
          <w:color w:val="000000"/>
          <w:kern w:val="0"/>
          <w:sz w:val="30"/>
          <w:szCs w:val="30"/>
          <w:shd w:val="clear" w:color="auto" w:fill="FFFFFF"/>
        </w:rPr>
      </w:pPr>
      <w:r>
        <w:rPr>
          <w:rFonts w:ascii="仿宋_GB2312" w:eastAsia="仿宋_GB2312" w:cs="黑体" w:hAnsi="黑体" w:hint="eastAsia"/>
          <w:color w:val="000000"/>
          <w:kern w:val="0"/>
          <w:sz w:val="30"/>
          <w:szCs w:val="30"/>
          <w:shd w:val="clear" w:color="auto" w:fill="FFFFFF"/>
        </w:rPr>
        <w:t>名词解释</w:t>
      </w:r>
    </w:p>
    <w:p>
      <w:pPr>
        <w:numPr>
          <w:ilvl w:val="0"/>
          <w:numId w:val="1"/>
        </w:numPr>
        <w:tabs>
          <w:tab w:val="left" w:leader="dot" w:pos="8190"/>
        </w:tabs>
        <w:spacing w:line="530" w:lineRule="exact"/>
        <w:rPr>
          <w:rFonts w:ascii="仿宋_GB2312" w:eastAsia="仿宋_GB2312" w:cs="黑体" w:hAnsi="黑体"/>
          <w:color w:val="000000"/>
          <w:kern w:val="0"/>
          <w:sz w:val="30"/>
          <w:szCs w:val="30"/>
          <w:shd w:val="clear" w:color="auto" w:fill="FFFFFF"/>
        </w:rPr>
      </w:pPr>
      <w:r>
        <w:rPr>
          <w:rFonts w:ascii="仿宋_GB2312" w:eastAsia="仿宋_GB2312" w:cs="黑体" w:hAnsi="黑体" w:hint="eastAsia"/>
          <w:color w:val="000000"/>
          <w:kern w:val="0"/>
          <w:sz w:val="30"/>
          <w:szCs w:val="30"/>
          <w:shd w:val="clear" w:color="auto" w:fill="FFFFFF"/>
        </w:rPr>
        <w:t>广元市经济和信息化局</w:t>
      </w:r>
      <w:r>
        <w:rPr>
          <w:rFonts w:ascii="仿宋_GB2312" w:eastAsia="仿宋_GB2312" w:cs="黑体" w:hAnsi="黑体"/>
          <w:color w:val="000000"/>
          <w:kern w:val="0"/>
          <w:sz w:val="30"/>
          <w:szCs w:val="30"/>
          <w:shd w:val="clear" w:color="auto" w:fill="FFFFFF"/>
        </w:rPr>
        <w:t>2025</w:t>
      </w:r>
      <w:r>
        <w:rPr>
          <w:rFonts w:ascii="仿宋_GB2312" w:eastAsia="仿宋_GB2312" w:cs="黑体" w:hAnsi="黑体" w:hint="eastAsia"/>
          <w:color w:val="000000"/>
          <w:kern w:val="0"/>
          <w:sz w:val="30"/>
          <w:szCs w:val="30"/>
          <w:shd w:val="clear" w:color="auto" w:fill="FFFFFF"/>
        </w:rPr>
        <w:t>年部门预算表</w:t>
      </w:r>
    </w:p>
    <w:p>
      <w:pPr>
        <w:numPr>
          <w:ilvl w:val="0"/>
          <w:numId w:val="3"/>
        </w:numPr>
        <w:tabs>
          <w:tab w:val="left" w:leader="dot" w:pos="8190"/>
        </w:tabs>
        <w:spacing w:line="530" w:lineRule="exact"/>
        <w:ind w:left="0" w:firstLineChars="100" w:firstLine="300"/>
        <w:rPr>
          <w:rFonts w:ascii="仿宋_GB2312" w:eastAsia="仿宋_GB2312" w:cs="黑体" w:hAnsi="黑体" w:hint="eastAsia"/>
          <w:color w:val="000000"/>
          <w:kern w:val="0"/>
          <w:sz w:val="30"/>
          <w:szCs w:val="30"/>
          <w:shd w:val="clear" w:color="auto" w:fill="FFFFFF"/>
          <w:lang w:val="en-US" w:eastAsia="zh-CN"/>
        </w:rPr>
      </w:pPr>
      <w:r>
        <w:rPr>
          <w:rFonts w:ascii="仿宋_GB2312" w:eastAsia="仿宋_GB2312" w:cs="黑体" w:hAnsi="黑体" w:hint="eastAsia"/>
          <w:color w:val="000000"/>
          <w:kern w:val="0"/>
          <w:sz w:val="30"/>
          <w:szCs w:val="30"/>
          <w:shd w:val="clear" w:color="auto" w:fill="FFFFFF"/>
          <w:lang w:val="en-US" w:eastAsia="zh-CN"/>
        </w:rPr>
        <w:t>部门收支总表</w:t>
      </w:r>
    </w:p>
    <w:p>
      <w:pPr>
        <w:numPr>
          <w:ilvl w:val="0"/>
          <w:numId w:val="3"/>
        </w:numPr>
        <w:tabs>
          <w:tab w:val="left" w:leader="dot" w:pos="8190"/>
        </w:tabs>
        <w:spacing w:line="530" w:lineRule="exact"/>
        <w:ind w:left="0" w:firstLineChars="100" w:firstLine="300"/>
        <w:rPr>
          <w:rFonts w:ascii="仿宋_GB2312" w:eastAsia="仿宋_GB2312" w:cs="黑体" w:hAnsi="黑体" w:hint="eastAsia"/>
          <w:color w:val="000000"/>
          <w:kern w:val="0"/>
          <w:sz w:val="30"/>
          <w:szCs w:val="30"/>
          <w:shd w:val="clear" w:color="auto" w:fill="FFFFFF"/>
          <w:lang w:val="en-US" w:eastAsia="zh-CN"/>
        </w:rPr>
      </w:pPr>
      <w:r>
        <w:rPr>
          <w:rFonts w:ascii="仿宋_GB2312" w:eastAsia="仿宋_GB2312" w:cs="黑体" w:hAnsi="黑体" w:hint="eastAsia"/>
          <w:color w:val="000000"/>
          <w:kern w:val="0"/>
          <w:sz w:val="30"/>
          <w:szCs w:val="30"/>
          <w:shd w:val="clear" w:color="auto" w:fill="FFFFFF"/>
          <w:lang w:val="en-US" w:eastAsia="zh-CN"/>
        </w:rPr>
        <w:t>部门收入总表</w:t>
      </w:r>
    </w:p>
    <w:p>
      <w:pPr>
        <w:numPr>
          <w:ilvl w:val="0"/>
          <w:numId w:val="3"/>
        </w:numPr>
        <w:tabs>
          <w:tab w:val="left" w:leader="dot" w:pos="8190"/>
        </w:tabs>
        <w:spacing w:line="530" w:lineRule="exact"/>
        <w:ind w:left="0" w:firstLineChars="100" w:firstLine="300"/>
        <w:rPr>
          <w:rFonts w:ascii="仿宋_GB2312" w:eastAsia="仿宋_GB2312" w:cs="黑体" w:hAnsi="黑体" w:hint="eastAsia"/>
          <w:color w:val="000000"/>
          <w:kern w:val="0"/>
          <w:sz w:val="30"/>
          <w:szCs w:val="30"/>
          <w:shd w:val="clear" w:color="auto" w:fill="FFFFFF"/>
          <w:lang w:val="en-US" w:eastAsia="zh-CN"/>
        </w:rPr>
      </w:pPr>
      <w:r>
        <w:rPr>
          <w:rFonts w:ascii="仿宋_GB2312" w:eastAsia="仿宋_GB2312" w:cs="黑体" w:hAnsi="黑体" w:hint="eastAsia"/>
          <w:color w:val="000000"/>
          <w:kern w:val="0"/>
          <w:sz w:val="30"/>
          <w:szCs w:val="30"/>
          <w:shd w:val="clear" w:color="auto" w:fill="FFFFFF"/>
          <w:lang w:val="en-US" w:eastAsia="zh-CN"/>
        </w:rPr>
        <w:t xml:space="preserve">部门支出总表 </w:t>
      </w:r>
    </w:p>
    <w:p>
      <w:pPr>
        <w:numPr>
          <w:ilvl w:val="0"/>
          <w:numId w:val="3"/>
        </w:numPr>
        <w:tabs>
          <w:tab w:val="left" w:leader="dot" w:pos="8190"/>
        </w:tabs>
        <w:spacing w:line="530" w:lineRule="exact"/>
        <w:ind w:left="0" w:firstLineChars="100" w:firstLine="300"/>
        <w:rPr>
          <w:rFonts w:ascii="仿宋_GB2312" w:eastAsia="仿宋_GB2312" w:cs="黑体" w:hAnsi="黑体" w:hint="eastAsia"/>
          <w:color w:val="000000"/>
          <w:kern w:val="0"/>
          <w:sz w:val="30"/>
          <w:szCs w:val="30"/>
          <w:shd w:val="clear" w:color="auto" w:fill="FFFFFF"/>
          <w:lang w:val="en-US" w:eastAsia="zh-CN"/>
        </w:rPr>
      </w:pPr>
      <w:r>
        <w:rPr>
          <w:rFonts w:ascii="仿宋_GB2312" w:eastAsia="仿宋_GB2312" w:cs="黑体" w:hAnsi="黑体" w:hint="eastAsia"/>
          <w:color w:val="000000"/>
          <w:kern w:val="0"/>
          <w:sz w:val="30"/>
          <w:szCs w:val="30"/>
          <w:shd w:val="clear" w:color="auto" w:fill="FFFFFF"/>
          <w:lang w:val="en-US" w:eastAsia="zh-CN"/>
        </w:rPr>
        <w:t>财政拨款收支预算总表</w:t>
      </w:r>
    </w:p>
    <w:p>
      <w:pPr>
        <w:numPr>
          <w:ilvl w:val="0"/>
          <w:numId w:val="3"/>
        </w:numPr>
        <w:tabs>
          <w:tab w:val="left" w:leader="dot" w:pos="8190"/>
        </w:tabs>
        <w:spacing w:line="530" w:lineRule="exact"/>
        <w:ind w:left="0" w:firstLineChars="100" w:firstLine="300"/>
        <w:rPr>
          <w:rFonts w:ascii="仿宋_GB2312" w:eastAsia="仿宋_GB2312" w:cs="黑体" w:hAnsi="黑体" w:hint="eastAsia"/>
          <w:color w:val="000000"/>
          <w:kern w:val="0"/>
          <w:sz w:val="30"/>
          <w:szCs w:val="30"/>
          <w:shd w:val="clear" w:color="auto" w:fill="FFFFFF"/>
          <w:lang w:val="en-US" w:eastAsia="zh-CN"/>
        </w:rPr>
      </w:pPr>
      <w:r>
        <w:rPr>
          <w:rFonts w:ascii="仿宋_GB2312" w:eastAsia="仿宋_GB2312" w:cs="黑体" w:hAnsi="黑体" w:hint="eastAsia"/>
          <w:color w:val="000000"/>
          <w:kern w:val="0"/>
          <w:sz w:val="30"/>
          <w:szCs w:val="30"/>
          <w:shd w:val="clear" w:color="auto" w:fill="FFFFFF"/>
          <w:lang w:val="en-US" w:eastAsia="zh-CN"/>
        </w:rPr>
        <w:t>财政拨款支出预算表（部门经济分类科目）</w:t>
      </w:r>
    </w:p>
    <w:p>
      <w:pPr>
        <w:numPr>
          <w:ilvl w:val="0"/>
          <w:numId w:val="3"/>
        </w:numPr>
        <w:tabs>
          <w:tab w:val="left" w:leader="dot" w:pos="8190"/>
        </w:tabs>
        <w:spacing w:line="530" w:lineRule="exact"/>
        <w:ind w:left="0" w:firstLineChars="100" w:firstLine="300"/>
        <w:rPr>
          <w:rFonts w:ascii="仿宋_GB2312" w:eastAsia="仿宋_GB2312" w:cs="黑体" w:hAnsi="黑体" w:hint="eastAsia"/>
          <w:color w:val="000000"/>
          <w:kern w:val="0"/>
          <w:sz w:val="30"/>
          <w:szCs w:val="30"/>
          <w:shd w:val="clear" w:color="auto" w:fill="FFFFFF"/>
          <w:lang w:val="en-US" w:eastAsia="zh-CN"/>
        </w:rPr>
      </w:pPr>
      <w:r>
        <w:rPr>
          <w:rFonts w:ascii="仿宋_GB2312" w:eastAsia="仿宋_GB2312" w:cs="黑体" w:hAnsi="黑体" w:hint="eastAsia"/>
          <w:color w:val="000000"/>
          <w:kern w:val="0"/>
          <w:sz w:val="30"/>
          <w:szCs w:val="30"/>
          <w:shd w:val="clear" w:color="auto" w:fill="FFFFFF"/>
          <w:lang w:val="en-US" w:eastAsia="zh-CN"/>
        </w:rPr>
        <w:t>一般公共预算支出预算表</w:t>
      </w:r>
    </w:p>
    <w:p>
      <w:pPr>
        <w:numPr>
          <w:ilvl w:val="0"/>
          <w:numId w:val="3"/>
        </w:numPr>
        <w:tabs>
          <w:tab w:val="left" w:leader="dot" w:pos="8190"/>
        </w:tabs>
        <w:spacing w:line="530" w:lineRule="exact"/>
        <w:ind w:left="0" w:firstLineChars="100" w:firstLine="300"/>
        <w:rPr>
          <w:rFonts w:ascii="仿宋_GB2312" w:eastAsia="仿宋_GB2312" w:cs="黑体" w:hAnsi="黑体" w:hint="eastAsia"/>
          <w:color w:val="000000"/>
          <w:kern w:val="0"/>
          <w:sz w:val="30"/>
          <w:szCs w:val="30"/>
          <w:shd w:val="clear" w:color="auto" w:fill="FFFFFF"/>
          <w:lang w:val="en-US" w:eastAsia="zh-CN"/>
        </w:rPr>
      </w:pPr>
      <w:r>
        <w:rPr>
          <w:rFonts w:ascii="仿宋_GB2312" w:eastAsia="仿宋_GB2312" w:cs="黑体" w:hAnsi="黑体" w:hint="eastAsia"/>
          <w:color w:val="000000"/>
          <w:kern w:val="0"/>
          <w:sz w:val="30"/>
          <w:szCs w:val="30"/>
          <w:shd w:val="clear" w:color="auto" w:fill="FFFFFF"/>
          <w:lang w:val="en-US" w:eastAsia="zh-CN"/>
        </w:rPr>
        <w:t>一般公共预算基本支出预算表</w:t>
      </w:r>
    </w:p>
    <w:p>
      <w:pPr>
        <w:numPr>
          <w:ilvl w:val="0"/>
          <w:numId w:val="3"/>
        </w:numPr>
        <w:tabs>
          <w:tab w:val="left" w:leader="dot" w:pos="8190"/>
        </w:tabs>
        <w:spacing w:line="530" w:lineRule="exact"/>
        <w:ind w:left="0" w:firstLineChars="100" w:firstLine="300"/>
        <w:rPr>
          <w:rFonts w:ascii="仿宋_GB2312" w:eastAsia="仿宋_GB2312" w:cs="黑体" w:hAnsi="黑体" w:hint="eastAsia"/>
          <w:color w:val="000000"/>
          <w:kern w:val="0"/>
          <w:sz w:val="30"/>
          <w:szCs w:val="30"/>
          <w:shd w:val="clear" w:color="auto" w:fill="FFFFFF"/>
          <w:lang w:val="en-US" w:eastAsia="zh-CN"/>
        </w:rPr>
      </w:pPr>
      <w:r>
        <w:rPr>
          <w:rFonts w:ascii="仿宋_GB2312" w:eastAsia="仿宋_GB2312" w:cs="黑体" w:hAnsi="黑体" w:hint="eastAsia"/>
          <w:color w:val="000000"/>
          <w:kern w:val="0"/>
          <w:sz w:val="30"/>
          <w:szCs w:val="30"/>
          <w:shd w:val="clear" w:color="auto" w:fill="FFFFFF"/>
          <w:lang w:val="en-US" w:eastAsia="zh-CN"/>
        </w:rPr>
        <w:t>一般公共预算项目支出预算表</w:t>
      </w:r>
    </w:p>
    <w:p>
      <w:pPr>
        <w:numPr>
          <w:ilvl w:val="0"/>
          <w:numId w:val="3"/>
        </w:numPr>
        <w:tabs>
          <w:tab w:val="left" w:leader="dot" w:pos="8190"/>
        </w:tabs>
        <w:spacing w:line="530" w:lineRule="exact"/>
        <w:ind w:left="0" w:firstLineChars="100" w:firstLine="300"/>
        <w:rPr>
          <w:rFonts w:ascii="仿宋_GB2312" w:eastAsia="仿宋_GB2312" w:cs="黑体" w:hAnsi="黑体" w:hint="eastAsia"/>
          <w:color w:val="000000"/>
          <w:kern w:val="0"/>
          <w:sz w:val="30"/>
          <w:szCs w:val="30"/>
          <w:shd w:val="clear" w:color="auto" w:fill="FFFFFF"/>
          <w:lang w:val="en-US" w:eastAsia="zh-CN"/>
        </w:rPr>
      </w:pPr>
      <w:r>
        <w:rPr>
          <w:rFonts w:ascii="仿宋_GB2312" w:eastAsia="仿宋_GB2312" w:cs="黑体" w:hAnsi="黑体" w:hint="eastAsia"/>
          <w:color w:val="000000"/>
          <w:kern w:val="0"/>
          <w:sz w:val="30"/>
          <w:szCs w:val="30"/>
          <w:shd w:val="clear" w:color="auto" w:fill="FFFFFF"/>
          <w:lang w:val="en-US" w:eastAsia="zh-CN"/>
        </w:rPr>
        <w:t>一般公共预算“三公”经费支出预算表</w:t>
      </w:r>
    </w:p>
    <w:p>
      <w:pPr>
        <w:numPr>
          <w:ilvl w:val="0"/>
          <w:numId w:val="3"/>
        </w:numPr>
        <w:tabs>
          <w:tab w:val="left" w:leader="dot" w:pos="8190"/>
        </w:tabs>
        <w:spacing w:line="530" w:lineRule="exact"/>
        <w:ind w:left="0" w:firstLineChars="100" w:firstLine="300"/>
        <w:rPr>
          <w:rFonts w:ascii="仿宋_GB2312" w:eastAsia="仿宋_GB2312" w:cs="黑体" w:hAnsi="黑体" w:hint="eastAsia"/>
          <w:color w:val="000000"/>
          <w:kern w:val="0"/>
          <w:sz w:val="30"/>
          <w:szCs w:val="30"/>
          <w:shd w:val="clear" w:color="auto" w:fill="FFFFFF"/>
          <w:lang w:val="en-US" w:eastAsia="zh-CN"/>
        </w:rPr>
      </w:pPr>
      <w:r>
        <w:rPr>
          <w:rFonts w:ascii="仿宋_GB2312" w:eastAsia="仿宋_GB2312" w:cs="黑体" w:hAnsi="黑体" w:hint="eastAsia"/>
          <w:color w:val="000000"/>
          <w:kern w:val="0"/>
          <w:sz w:val="30"/>
          <w:szCs w:val="30"/>
          <w:shd w:val="clear" w:color="auto" w:fill="FFFFFF"/>
          <w:lang w:val="en-US" w:eastAsia="zh-CN"/>
        </w:rPr>
        <w:t>政府性基金预算支出预算表</w:t>
      </w:r>
    </w:p>
    <w:p>
      <w:pPr>
        <w:numPr>
          <w:ilvl w:val="0"/>
          <w:numId w:val="3"/>
        </w:numPr>
        <w:tabs>
          <w:tab w:val="left" w:leader="dot" w:pos="8190"/>
        </w:tabs>
        <w:spacing w:line="530" w:lineRule="exact"/>
        <w:ind w:left="0" w:firstLineChars="100" w:firstLine="300"/>
        <w:rPr>
          <w:rFonts w:ascii="仿宋_GB2312" w:eastAsia="仿宋_GB2312" w:cs="黑体" w:hAnsi="黑体" w:hint="eastAsia"/>
          <w:color w:val="000000"/>
          <w:kern w:val="0"/>
          <w:sz w:val="30"/>
          <w:szCs w:val="30"/>
          <w:shd w:val="clear" w:color="auto" w:fill="FFFFFF"/>
          <w:lang w:val="en-US" w:eastAsia="zh-CN"/>
        </w:rPr>
      </w:pPr>
      <w:r>
        <w:rPr>
          <w:rFonts w:ascii="仿宋_GB2312" w:eastAsia="仿宋_GB2312" w:cs="黑体" w:hAnsi="黑体" w:hint="eastAsia"/>
          <w:color w:val="000000"/>
          <w:kern w:val="0"/>
          <w:sz w:val="30"/>
          <w:szCs w:val="30"/>
          <w:shd w:val="clear" w:color="auto" w:fill="FFFFFF"/>
          <w:lang w:val="en-US" w:eastAsia="zh-CN"/>
        </w:rPr>
        <w:t>政府性基金预算“三公”经费支出预算表</w:t>
      </w:r>
    </w:p>
    <w:p>
      <w:pPr>
        <w:numPr>
          <w:ilvl w:val="0"/>
          <w:numId w:val="3"/>
        </w:numPr>
        <w:tabs>
          <w:tab w:val="left" w:leader="dot" w:pos="8190"/>
        </w:tabs>
        <w:spacing w:line="530" w:lineRule="exact"/>
        <w:ind w:left="0" w:firstLineChars="100" w:firstLine="300"/>
        <w:rPr>
          <w:rFonts w:ascii="仿宋_GB2312" w:eastAsia="仿宋_GB2312" w:cs="黑体" w:hAnsi="黑体" w:hint="eastAsia"/>
          <w:color w:val="000000"/>
          <w:kern w:val="0"/>
          <w:sz w:val="30"/>
          <w:szCs w:val="30"/>
          <w:shd w:val="clear" w:color="auto" w:fill="FFFFFF"/>
          <w:lang w:val="en-US" w:eastAsia="zh-CN"/>
        </w:rPr>
      </w:pPr>
      <w:r>
        <w:rPr>
          <w:rFonts w:ascii="仿宋_GB2312" w:eastAsia="仿宋_GB2312" w:cs="黑体" w:hAnsi="黑体" w:hint="eastAsia"/>
          <w:color w:val="000000"/>
          <w:kern w:val="0"/>
          <w:sz w:val="30"/>
          <w:szCs w:val="30"/>
          <w:shd w:val="clear" w:color="auto" w:fill="FFFFFF"/>
          <w:lang w:val="en-US" w:eastAsia="zh-CN"/>
        </w:rPr>
        <w:t xml:space="preserve">国有资本经营预算支出预算表 </w:t>
      </w:r>
    </w:p>
    <w:p>
      <w:pPr>
        <w:numPr>
          <w:ilvl w:val="0"/>
          <w:numId w:val="3"/>
        </w:numPr>
        <w:tabs>
          <w:tab w:val="left" w:leader="dot" w:pos="8190"/>
        </w:tabs>
        <w:spacing w:line="530" w:lineRule="exact"/>
        <w:ind w:left="0" w:firstLineChars="100" w:firstLine="300"/>
        <w:rPr>
          <w:rFonts w:ascii="仿宋_GB2312" w:eastAsia="仿宋_GB2312" w:cs="黑体" w:hAnsi="黑体" w:hint="eastAsia"/>
          <w:color w:val="000000"/>
          <w:kern w:val="0"/>
          <w:sz w:val="30"/>
          <w:szCs w:val="30"/>
          <w:shd w:val="clear" w:color="auto" w:fill="FFFFFF"/>
          <w:lang w:val="en-US" w:eastAsia="zh-CN"/>
        </w:rPr>
      </w:pPr>
      <w:r>
        <w:rPr>
          <w:rFonts w:ascii="仿宋_GB2312" w:eastAsia="仿宋_GB2312" w:cs="黑体" w:hAnsi="黑体" w:hint="eastAsia"/>
          <w:color w:val="000000"/>
          <w:kern w:val="0"/>
          <w:sz w:val="30"/>
          <w:szCs w:val="30"/>
          <w:shd w:val="clear" w:color="auto" w:fill="FFFFFF"/>
          <w:lang w:val="en-US" w:eastAsia="zh-CN"/>
        </w:rPr>
        <w:t>部门预算项目支出绩效目标表</w:t>
      </w:r>
    </w:p>
    <w:p>
      <w:pPr>
        <w:numPr>
          <w:ilvl w:val="0"/>
          <w:numId w:val="3"/>
        </w:numPr>
        <w:tabs>
          <w:tab w:val="left" w:leader="dot" w:pos="8190"/>
        </w:tabs>
        <w:spacing w:line="530" w:lineRule="exact"/>
        <w:ind w:left="0" w:firstLineChars="100" w:firstLine="300"/>
        <w:rPr>
          <w:rFonts w:ascii="仿宋_GB2312" w:eastAsia="仿宋_GB2312" w:cs="黑体" w:hAnsi="黑体" w:hint="eastAsia"/>
          <w:color w:val="000000"/>
          <w:kern w:val="0"/>
          <w:sz w:val="30"/>
          <w:szCs w:val="30"/>
          <w:shd w:val="clear" w:color="auto" w:fill="FFFFFF"/>
          <w:lang w:val="en-US" w:eastAsia="zh-CN"/>
        </w:rPr>
      </w:pPr>
      <w:r>
        <w:rPr>
          <w:rFonts w:ascii="仿宋_GB2312" w:eastAsia="仿宋_GB2312" w:cs="黑体" w:hAnsi="黑体" w:hint="eastAsia"/>
          <w:color w:val="000000"/>
          <w:kern w:val="0"/>
          <w:sz w:val="30"/>
          <w:szCs w:val="30"/>
          <w:shd w:val="clear" w:color="auto" w:fill="FFFFFF"/>
          <w:lang w:val="en-US" w:eastAsia="zh-CN"/>
        </w:rPr>
        <w:t xml:space="preserve">部门整体支出绩效目标表 </w:t>
      </w:r>
    </w:p>
    <w:p>
      <w:pPr>
        <w:tabs>
          <w:tab w:val="left" w:leader="dot" w:pos="8190"/>
        </w:tabs>
        <w:spacing w:line="530" w:lineRule="exact"/>
        <w:ind w:left="0" w:firstLineChars="100" w:firstLine="300"/>
        <w:rPr>
          <w:rFonts w:ascii="仿宋_GB2312" w:eastAsia="仿宋_GB2312" w:cs="黑体" w:hAnsi="黑体" w:hint="eastAsia"/>
          <w:color w:val="000000"/>
          <w:kern w:val="0"/>
          <w:sz w:val="30"/>
          <w:szCs w:val="30"/>
          <w:shd w:val="clear" w:color="auto" w:fill="FFFFFF"/>
          <w:lang w:val="en-US" w:eastAsia="zh-CN"/>
        </w:rPr>
        <w:sectPr>
          <w:footerReference w:type="default" r:id="rId2"/>
          <w:footerReference w:type="even" r:id="rId3"/>
          <w:pgSz w:w="11906" w:h="16838"/>
          <w:pgMar w:top="2098" w:right="1474" w:bottom="1701" w:left="1588" w:header="720" w:footer="1418" w:gutter="0"/>
          <w:cols w:num="1" w:space="0"/>
          <w:docGrid w:type="lines" w:linePitch="312" w:charSpace="0"/>
        </w:sectPr>
      </w:pPr>
    </w:p>
    <w:p>
      <w:pPr>
        <w:widowControl/>
        <w:numPr>
          <w:ilvl w:val="0"/>
          <w:numId w:val="4"/>
        </w:numPr>
        <w:shd w:val="clear" w:color="auto" w:fill="FFFFFF"/>
        <w:suppressAutoHyphens/>
        <w:spacing w:line="580" w:lineRule="atLeast"/>
        <w:jc w:val="center"/>
        <w:textAlignment w:val="center"/>
        <w:outlineLvl w:val="0"/>
        <w:rPr>
          <w:rFonts w:ascii="方正小标宋简体" w:eastAsia="方正小标宋简体" w:cs="方正小标宋简体" w:hAnsi="方正小标宋简体"/>
          <w:sz w:val="44"/>
          <w:szCs w:val="44"/>
        </w:rPr>
      </w:pPr>
      <w:bookmarkStart w:id="1" w:name="_Toc188545579"/>
      <w:bookmarkStart w:id="2" w:name="_Toc188545358"/>
      <w:r>
        <w:rPr>
          <w:rFonts w:ascii="方正小标宋简体" w:eastAsia="方正小标宋简体" w:cs="方正小标宋简体" w:hAnsi="方正小标宋简体" w:hint="eastAsia"/>
          <w:sz w:val="44"/>
          <w:szCs w:val="44"/>
        </w:rPr>
        <w:t>广元市经济和信息化局概况</w:t>
      </w:r>
      <w:bookmarkEnd w:id="1"/>
      <w:bookmarkEnd w:id="2"/>
    </w:p>
    <w:p>
      <w:pPr>
        <w:spacing w:line="576" w:lineRule="exact"/>
        <w:ind w:firstLineChars="200" w:firstLine="640"/>
        <w:rPr>
          <w:rFonts w:ascii="黑体" w:eastAsia="黑体" w:cs="黑体" w:hAnsi="黑体"/>
          <w:sz w:val="32"/>
          <w:szCs w:val="32"/>
        </w:rPr>
      </w:pPr>
    </w:p>
    <w:p>
      <w:pPr>
        <w:spacing w:line="576" w:lineRule="exact"/>
        <w:ind w:firstLineChars="200" w:firstLine="640"/>
        <w:outlineLvl w:val="0"/>
        <w:rPr>
          <w:rFonts w:ascii="黑体" w:eastAsia="黑体" w:cs="黑体" w:hAnsi="黑体"/>
          <w:sz w:val="32"/>
          <w:szCs w:val="32"/>
        </w:rPr>
      </w:pPr>
      <w:bookmarkStart w:id="3" w:name="_Toc188545359"/>
      <w:bookmarkStart w:id="4" w:name="_Toc188545580"/>
      <w:r>
        <w:rPr>
          <w:rFonts w:ascii="黑体" w:eastAsia="黑体" w:cs="黑体" w:hAnsi="黑体" w:hint="eastAsia"/>
          <w:sz w:val="32"/>
          <w:szCs w:val="32"/>
        </w:rPr>
        <w:t>一、基本职能及主要工作</w:t>
      </w:r>
      <w:bookmarkEnd w:id="3"/>
      <w:bookmarkEnd w:id="4"/>
    </w:p>
    <w:p>
      <w:pPr>
        <w:spacing w:line="576" w:lineRule="exact"/>
        <w:ind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（一）市经济和信息化局职能简介</w:t>
      </w:r>
    </w:p>
    <w:p>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贯彻实施国家有关工业经济、信息化、无线电管理方针、政策和法律、法规；组织实施国家西部大开发战略等有关工业经济的政策措施；拟订全市工业经济、信息化和无线电管理的政策规定并组织实施；负责本系统、本部门依法行政工作，落实行政执法责任制。组织推动信息化和工业化融合、工业化与城镇化联动，负责推进全市工业结构调整。</w:t>
      </w:r>
    </w:p>
    <w:p>
      <w:pPr>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拟订全市新型工业化发展战略和重大政策，协调解决新型工业化进程中的重大问题，组织实施工业强市战略。参与制订国民经济和社会发展规划，制订工业（不含能源，下同）、信息化相关行业的发展规划、年度计划和产业政策并组织实施，拟订行业技术规范与行业标准并组织实施，指导行业质量管理工作。</w:t>
      </w:r>
    </w:p>
    <w:p>
      <w:pPr>
        <w:spacing w:line="576"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监测、分析经济运行态势和质量，建立全市工业经济运行预警机制，拟订中、近期经济运行目标、政策并组织实施，协调解决经济运行中的重大问题；负责电力、成品油、天然气等重要物资综合调控、紧急调度和交通运输协调工作，负责市级医药储备的监督管理，承办年度工业经济目标责任考核。</w:t>
      </w:r>
    </w:p>
    <w:p>
      <w:pPr>
        <w:spacing w:line="576"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负责全市企业技术改造推进工作，组织制订并实施全市企业技术改造投资规划和政策，制订并发布全市企业技术改造投资项目引导目录。提出工业和信息化固定资产投资规模的意见，按照规定权限审批、核准、备案规划内全市企业技术改造项目，组织企业技术改造项目申报国家、省有关专项计划并组织实施。</w:t>
      </w:r>
    </w:p>
    <w:p>
      <w:pPr>
        <w:spacing w:line="576"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负责全市企业技术创新体系建设，制订鼓励企业技术创新的政策措施；指导企业技术创新、技术引进、重大装备国产化和重大技术装备研制，编制下达全市企业技术创新项目计划并组织实施，按照规定程序会同有关部门组织企业技术中心申报、认定和建设管理工作。</w:t>
      </w:r>
    </w:p>
    <w:p>
      <w:pPr>
        <w:spacing w:line="576"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负责全市产业园区建设发展的牵头服务工作，拟订产业园区、产业集群发展规划和政策措施并组织实施，指导产业园区合理布局，负责推进重点产业园区建设发展，推进园区公共配套设施建设，组织实施产业园区公共服务平台项目计划。</w:t>
      </w:r>
    </w:p>
    <w:p>
      <w:pPr>
        <w:spacing w:line="576"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负责全市工业和信息化领域的节能降耗、清洁生产和资源节约与综合利用工作，协调推进工业化与生态环境协调发展中的重大问题，组织实施相关重大示范项目和新产品、新技术、新工艺、新设备、新材料的推广应用。</w:t>
      </w:r>
    </w:p>
    <w:p>
      <w:pPr>
        <w:spacing w:line="576"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负责推进企业信用制度建设，负责中小企业信用担保和融资体系建设并实施行业监管，制订工业发展资金等财政专项资金使用计划，负责企业技术改造、技术创新、生产运行等涉及财政、信贷、税收、保险等方面问题的协调，指导工业企业直接融资工作，负责企业上市培育工作。</w:t>
      </w:r>
    </w:p>
    <w:p>
      <w:pPr>
        <w:spacing w:line="576" w:lineRule="exact"/>
        <w:ind w:firstLineChars="200" w:firstLine="64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对国家重大工业经济政策实施情况进行督查，指导企业建立现代企业制度、改组改造、兼并重组，负责全市企业治乱减负工作，指导企业经营管理人员、专业技术人员培训，负责全市大企业大集团和龙头骨干企业的培育工作，负责全市中小企业发展的指导推进工作，组织拟订促进中小企业发展的政策措施，负责推进中小企业服务体系建设。</w:t>
      </w:r>
    </w:p>
    <w:p>
      <w:pPr>
        <w:spacing w:line="576" w:lineRule="exact"/>
        <w:ind w:firstLineChars="200" w:firstLine="640"/>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负责对全市工业各行业实施行业管理，制订相关政策措施并组织实施，拟订新材料、节能环保、航空航天、生物医药等战略性新兴产业发展规划、年度计划、政策措施并组织实施。拟订加快农产品加工业发展的政策措施，参与推进农业产业化龙头企业建设，参与推进农业现代化和新农村建设。指导工业、信息化和无线电领域的社会中介组织发展。</w:t>
      </w:r>
    </w:p>
    <w:p>
      <w:pPr>
        <w:spacing w:line="576" w:lineRule="exact"/>
        <w:ind w:firstLineChars="200" w:firstLine="640"/>
        <w:rPr>
          <w:rFonts w:ascii="仿宋_GB2312" w:eastAsia="仿宋_GB2312"/>
          <w:sz w:val="32"/>
          <w:szCs w:val="32"/>
        </w:rPr>
      </w:pPr>
      <w:r>
        <w:rPr>
          <w:rFonts w:ascii="仿宋_GB2312" w:eastAsia="仿宋_GB2312"/>
          <w:sz w:val="32"/>
          <w:szCs w:val="32"/>
        </w:rPr>
        <w:t>11.</w:t>
      </w:r>
      <w:r>
        <w:rPr>
          <w:rFonts w:ascii="仿宋_GB2312" w:eastAsia="仿宋_GB2312" w:hint="eastAsia"/>
          <w:sz w:val="32"/>
          <w:szCs w:val="32"/>
        </w:rPr>
        <w:t>统筹推进全市信息化工作，制订相关政策并组织实施，指导电子政务、企业信息化、电子商务和物联网发展，推动跨行业、跨部门面向社会服务网络的互联互通和信息资源共享。</w:t>
      </w:r>
    </w:p>
    <w:p>
      <w:pPr>
        <w:spacing w:line="576" w:lineRule="exact"/>
        <w:ind w:firstLineChars="200" w:firstLine="640"/>
        <w:rPr>
          <w:rFonts w:ascii="仿宋_GB2312" w:eastAsia="仿宋_GB2312"/>
          <w:sz w:val="32"/>
          <w:szCs w:val="32"/>
        </w:rPr>
      </w:pPr>
      <w:r>
        <w:rPr>
          <w:rFonts w:ascii="仿宋_GB2312" w:eastAsia="仿宋_GB2312"/>
          <w:sz w:val="32"/>
          <w:szCs w:val="32"/>
        </w:rPr>
        <w:t>12.</w:t>
      </w:r>
      <w:r>
        <w:rPr>
          <w:rFonts w:ascii="仿宋_GB2312" w:eastAsia="仿宋_GB2312" w:hint="eastAsia"/>
          <w:sz w:val="32"/>
          <w:szCs w:val="32"/>
        </w:rPr>
        <w:t>负责全市信息基础设施建设的规划、协调和管理，组织制订通信管线规划并承担相应的管理工作，协调电信市场涉及社会公共利益的重大事项。</w:t>
      </w:r>
    </w:p>
    <w:p>
      <w:pPr>
        <w:spacing w:line="576" w:lineRule="exact"/>
        <w:ind w:firstLineChars="200" w:firstLine="640"/>
        <w:rPr>
          <w:rFonts w:ascii="仿宋_GB2312" w:eastAsia="仿宋_GB2312"/>
          <w:sz w:val="32"/>
          <w:szCs w:val="32"/>
        </w:rPr>
      </w:pPr>
      <w:r>
        <w:rPr>
          <w:rFonts w:ascii="仿宋_GB2312" w:eastAsia="仿宋_GB2312"/>
          <w:sz w:val="32"/>
          <w:szCs w:val="32"/>
        </w:rPr>
        <w:t>13.</w:t>
      </w:r>
      <w:r>
        <w:rPr>
          <w:rFonts w:ascii="仿宋_GB2312" w:eastAsia="仿宋_GB2312" w:hint="eastAsia"/>
          <w:sz w:val="32"/>
          <w:szCs w:val="32"/>
        </w:rPr>
        <w:t>组织协调全市信息安全保障体系建设，指导和监督政府部门、重点行业的重要信息系统与信息网络的安全保障工作，指导信息安全防范工作，参与处理网络与信息安全重大事件。</w:t>
      </w:r>
    </w:p>
    <w:p>
      <w:pPr>
        <w:spacing w:line="576" w:lineRule="exact"/>
        <w:ind w:firstLineChars="200" w:firstLine="640"/>
        <w:rPr>
          <w:rFonts w:ascii="仿宋_GB2312" w:eastAsia="仿宋_GB2312"/>
          <w:sz w:val="32"/>
          <w:szCs w:val="32"/>
        </w:rPr>
      </w:pPr>
      <w:r>
        <w:rPr>
          <w:rFonts w:ascii="仿宋_GB2312" w:eastAsia="仿宋_GB2312"/>
          <w:sz w:val="32"/>
          <w:szCs w:val="32"/>
        </w:rPr>
        <w:t>14.</w:t>
      </w:r>
      <w:r>
        <w:rPr>
          <w:rFonts w:ascii="仿宋_GB2312" w:eastAsia="仿宋_GB2312" w:hint="eastAsia"/>
          <w:sz w:val="32"/>
          <w:szCs w:val="32"/>
        </w:rPr>
        <w:t>统一配置和管理全市无线电频谱资源，依法监督管理无线电台（站），负责无线电电磁环境保护工作；负责无线电监测、检测和干扰查处，协调军地间和市际间无线电管理相关事宜，维护空中电波秩序，依法组织实施无线电管制。</w:t>
      </w:r>
    </w:p>
    <w:p>
      <w:pPr>
        <w:spacing w:line="576" w:lineRule="exact"/>
        <w:ind w:firstLineChars="200" w:firstLine="640"/>
        <w:rPr>
          <w:rFonts w:ascii="仿宋_GB2312" w:eastAsia="仿宋_GB2312"/>
          <w:sz w:val="32"/>
          <w:szCs w:val="32"/>
        </w:rPr>
      </w:pPr>
      <w:r>
        <w:rPr>
          <w:rFonts w:ascii="仿宋_GB2312" w:eastAsia="仿宋_GB2312"/>
          <w:sz w:val="32"/>
          <w:szCs w:val="32"/>
        </w:rPr>
        <w:t>15.</w:t>
      </w:r>
      <w:r>
        <w:rPr>
          <w:rFonts w:ascii="仿宋_GB2312" w:eastAsia="仿宋_GB2312" w:hint="eastAsia"/>
          <w:sz w:val="32"/>
          <w:szCs w:val="32"/>
        </w:rPr>
        <w:t>会同有关部门提出工业和信息化领域对外开放和利用外资的政策建议，参与区域经济合作和承接产业转移工作。指导工业和信息化企业开展对外交流与合作、国际化经营、境外投资及兼并重组。</w:t>
      </w:r>
    </w:p>
    <w:p>
      <w:pPr>
        <w:spacing w:line="576" w:lineRule="exact"/>
        <w:ind w:firstLineChars="200" w:firstLine="640"/>
        <w:rPr>
          <w:rFonts w:ascii="仿宋_GB2312" w:eastAsia="仿宋_GB2312"/>
          <w:sz w:val="32"/>
          <w:szCs w:val="32"/>
        </w:rPr>
      </w:pPr>
      <w:r>
        <w:rPr>
          <w:rFonts w:ascii="仿宋_GB2312" w:eastAsia="仿宋_GB2312"/>
          <w:sz w:val="32"/>
          <w:szCs w:val="32"/>
        </w:rPr>
        <w:t>16.</w:t>
      </w:r>
      <w:r>
        <w:rPr>
          <w:rFonts w:ascii="仿宋_GB2312" w:eastAsia="仿宋_GB2312" w:hint="eastAsia"/>
          <w:sz w:val="32"/>
          <w:szCs w:val="32"/>
        </w:rPr>
        <w:t>组织拟订全市军民融合发展战略、中长期规划，提出对重大政策、重大问题的建议；统筹推进军民融合产业发展、重大项目落实落地等职责。</w:t>
      </w:r>
    </w:p>
    <w:p>
      <w:pPr>
        <w:spacing w:line="576" w:lineRule="exact"/>
        <w:ind w:firstLineChars="200" w:firstLine="640"/>
        <w:rPr>
          <w:rFonts w:ascii="仿宋_GB2312" w:eastAsia="仿宋_GB2312"/>
          <w:sz w:val="32"/>
          <w:szCs w:val="32"/>
        </w:rPr>
      </w:pPr>
      <w:r>
        <w:rPr>
          <w:rFonts w:ascii="仿宋_GB2312" w:eastAsia="仿宋_GB2312"/>
          <w:sz w:val="32"/>
          <w:szCs w:val="32"/>
        </w:rPr>
        <w:t>17.</w:t>
      </w:r>
      <w:r>
        <w:rPr>
          <w:rFonts w:ascii="仿宋_GB2312" w:eastAsia="仿宋_GB2312" w:hint="eastAsia"/>
          <w:sz w:val="32"/>
          <w:szCs w:val="32"/>
        </w:rPr>
        <w:t>负责食盐行业管理，承担食盐专营管理工作，组织编制盐业发展规划，制定、组织实施产业政策。依法查处食盐违法违规经营行为，配合相关部门做好食盐的安全管控和价格干预工作；负责行业的统计分析及运行监测，协调处理行业发展中的重大问题。</w:t>
      </w:r>
    </w:p>
    <w:p>
      <w:pPr>
        <w:spacing w:line="576" w:lineRule="exact"/>
        <w:ind w:firstLineChars="200" w:firstLine="640"/>
        <w:rPr>
          <w:rFonts w:ascii="仿宋_GB2312" w:eastAsia="仿宋_GB2312"/>
          <w:spacing w:val="-6"/>
          <w:sz w:val="32"/>
          <w:szCs w:val="32"/>
        </w:rPr>
      </w:pPr>
      <w:r>
        <w:rPr>
          <w:rFonts w:ascii="仿宋_GB2312" w:eastAsia="仿宋_GB2312"/>
          <w:sz w:val="32"/>
          <w:szCs w:val="32"/>
        </w:rPr>
        <w:t>18.</w:t>
      </w:r>
      <w:r>
        <w:rPr>
          <w:rFonts w:ascii="仿宋_GB2312" w:eastAsia="仿宋_GB2312" w:hint="eastAsia"/>
          <w:spacing w:val="-6"/>
          <w:sz w:val="32"/>
          <w:szCs w:val="32"/>
        </w:rPr>
        <w:t>负责农产品加工业（精深加工）、农业装备工业相关工作。</w:t>
      </w:r>
    </w:p>
    <w:p>
      <w:pPr>
        <w:spacing w:line="576" w:lineRule="exact"/>
        <w:ind w:firstLineChars="200" w:firstLine="640"/>
        <w:rPr>
          <w:rFonts w:ascii="仿宋_GB2312" w:eastAsia="仿宋_GB2312"/>
          <w:sz w:val="32"/>
          <w:szCs w:val="32"/>
        </w:rPr>
      </w:pPr>
      <w:r>
        <w:rPr>
          <w:rFonts w:ascii="仿宋_GB2312" w:eastAsia="仿宋_GB2312"/>
          <w:sz w:val="32"/>
          <w:szCs w:val="32"/>
        </w:rPr>
        <w:t>19.</w:t>
      </w:r>
      <w:r>
        <w:rPr>
          <w:rFonts w:ascii="仿宋_GB2312" w:eastAsia="仿宋_GB2312" w:hint="eastAsia"/>
          <w:sz w:val="32"/>
          <w:szCs w:val="32"/>
        </w:rPr>
        <w:t>负责全市医药产业发展工作。</w:t>
      </w:r>
    </w:p>
    <w:p>
      <w:pPr>
        <w:spacing w:line="576"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承担市政府公布的有关行政审批事项。</w:t>
      </w:r>
    </w:p>
    <w:p>
      <w:pPr>
        <w:spacing w:line="576" w:lineRule="exact"/>
        <w:ind w:firstLineChars="200" w:firstLine="640"/>
        <w:rPr>
          <w:rFonts w:ascii="楷体_GB2312" w:eastAsia="楷体_GB2312" w:cs="楷体_GB2312" w:hAnsi="楷体_GB2312"/>
          <w:sz w:val="32"/>
          <w:szCs w:val="32"/>
        </w:rPr>
      </w:pPr>
      <w:r>
        <w:rPr>
          <w:rFonts w:ascii="仿宋_GB2312" w:eastAsia="仿宋_GB2312"/>
          <w:sz w:val="32"/>
          <w:szCs w:val="32"/>
        </w:rPr>
        <w:t>21.</w:t>
      </w:r>
      <w:r>
        <w:rPr>
          <w:rFonts w:ascii="仿宋_GB2312" w:eastAsia="仿宋_GB2312" w:hint="eastAsia"/>
          <w:sz w:val="32"/>
          <w:szCs w:val="32"/>
        </w:rPr>
        <w:t>承办市政府交办的其他事项。</w:t>
      </w:r>
    </w:p>
    <w:p>
      <w:pPr>
        <w:spacing w:line="576" w:lineRule="exact"/>
        <w:ind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（二）市经济和信息化局</w:t>
      </w:r>
      <w:r>
        <w:rPr>
          <w:rFonts w:ascii="楷体_GB2312" w:eastAsia="楷体_GB2312" w:cs="楷体_GB2312" w:hAnsi="楷体_GB2312"/>
          <w:sz w:val="32"/>
          <w:szCs w:val="32"/>
        </w:rPr>
        <w:t>2025</w:t>
      </w:r>
      <w:r>
        <w:rPr>
          <w:rFonts w:ascii="楷体_GB2312" w:eastAsia="楷体_GB2312" w:cs="楷体_GB2312" w:hAnsi="楷体_GB2312" w:hint="eastAsia"/>
          <w:sz w:val="32"/>
          <w:szCs w:val="32"/>
        </w:rPr>
        <w:t>年重点工作</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深入贯彻习近平总书记</w:t>
      </w:r>
      <w:r>
        <w:rPr>
          <w:rFonts w:ascii="仿宋_GB2312" w:eastAsia="仿宋_GB2312"/>
          <w:sz w:val="32"/>
          <w:szCs w:val="32"/>
        </w:rPr>
        <w:t>对四川工作系列</w:t>
      </w:r>
      <w:r>
        <w:rPr>
          <w:rFonts w:ascii="仿宋_GB2312" w:eastAsia="仿宋_GB2312" w:hint="eastAsia"/>
          <w:sz w:val="32"/>
          <w:szCs w:val="32"/>
        </w:rPr>
        <w:t>重要指示精神，全面落实市委、市政府决策部署，</w:t>
      </w:r>
      <w:r>
        <w:rPr>
          <w:rStyle w:val="32"/>
          <w:rFonts w:ascii="仿宋_GB2312" w:eastAsia="仿宋_GB2312" w:cs="仿宋_GB2312" w:hint="eastAsia"/>
          <w:sz w:val="32"/>
          <w:szCs w:val="32"/>
        </w:rPr>
        <w:t>大力实施“</w:t>
      </w:r>
      <w:r>
        <w:rPr>
          <w:rStyle w:val="32"/>
          <w:rFonts w:ascii="仿宋_GB2312" w:eastAsia="仿宋_GB2312" w:cs="仿宋_GB2312"/>
          <w:sz w:val="32"/>
          <w:szCs w:val="32"/>
        </w:rPr>
        <w:t>1345</w:t>
      </w:r>
      <w:r>
        <w:rPr>
          <w:rStyle w:val="32"/>
          <w:rFonts w:ascii="仿宋_GB2312" w:eastAsia="仿宋_GB2312" w:cs="仿宋_GB2312" w:hint="eastAsia"/>
          <w:sz w:val="32"/>
          <w:szCs w:val="32"/>
        </w:rPr>
        <w:t>”发展战略，锚定“再造一个工业广元”目标，始终迸发“不服输、敢争先”精气神，抢抓机遇、乘势而上，</w:t>
      </w:r>
      <w:r>
        <w:rPr>
          <w:rFonts w:ascii="仿宋_GB2312" w:eastAsia="仿宋_GB2312" w:hint="eastAsia"/>
          <w:sz w:val="32"/>
          <w:szCs w:val="36"/>
        </w:rPr>
        <w:t>统筹抓好稳增长、促投资、聚集群、提能级、建园区、育主体、促转型等各项工作，</w:t>
      </w:r>
      <w:r>
        <w:rPr>
          <w:rFonts w:ascii="仿宋_GB2312" w:eastAsia="仿宋_GB2312" w:hint="eastAsia"/>
          <w:sz w:val="32"/>
          <w:szCs w:val="32"/>
        </w:rPr>
        <w:t>为加快建设川陕甘结合部现代化中心城市贡献工业力量。</w:t>
      </w:r>
      <w:r>
        <w:rPr>
          <w:rFonts w:ascii="仿宋_GB2312" w:eastAsia="仿宋_GB2312" w:cs="楷体_GB2312" w:hint="eastAsia"/>
          <w:spacing w:val="-2"/>
          <w:sz w:val="32"/>
        </w:rPr>
        <w:t>力争</w:t>
      </w:r>
      <w:r>
        <w:rPr>
          <w:rFonts w:ascii="仿宋_GB2312" w:eastAsia="仿宋_GB2312" w:hint="eastAsia"/>
          <w:spacing w:val="-2"/>
          <w:sz w:val="32"/>
        </w:rPr>
        <w:t>全年规上工业增加值同比增长</w:t>
      </w:r>
      <w:r>
        <w:rPr>
          <w:rFonts w:ascii="仿宋_GB2312" w:eastAsia="仿宋_GB2312"/>
          <w:spacing w:val="-2"/>
          <w:sz w:val="32"/>
        </w:rPr>
        <w:t>10%</w:t>
      </w:r>
      <w:r>
        <w:rPr>
          <w:rFonts w:ascii="仿宋_GB2312" w:eastAsia="仿宋_GB2312" w:hint="eastAsia"/>
          <w:spacing w:val="-2"/>
          <w:sz w:val="32"/>
        </w:rPr>
        <w:t>以上，</w:t>
      </w:r>
      <w:r>
        <w:rPr>
          <w:rFonts w:ascii="仿宋_GB2312" w:eastAsia="仿宋_GB2312" w:hint="eastAsia"/>
          <w:spacing w:val="-4"/>
          <w:sz w:val="32"/>
        </w:rPr>
        <w:t>工业投资同比增长</w:t>
      </w:r>
      <w:r>
        <w:rPr>
          <w:rFonts w:ascii="仿宋_GB2312" w:eastAsia="仿宋_GB2312"/>
          <w:spacing w:val="-4"/>
          <w:sz w:val="32"/>
        </w:rPr>
        <w:t>10%</w:t>
      </w:r>
      <w:r>
        <w:rPr>
          <w:rFonts w:ascii="仿宋_GB2312" w:eastAsia="仿宋_GB2312" w:hint="eastAsia"/>
          <w:spacing w:val="-4"/>
          <w:sz w:val="32"/>
        </w:rPr>
        <w:t>，培育新进规企业</w:t>
      </w:r>
      <w:r>
        <w:rPr>
          <w:rFonts w:ascii="仿宋_GB2312" w:eastAsia="仿宋_GB2312"/>
          <w:spacing w:val="-4"/>
          <w:sz w:val="32"/>
        </w:rPr>
        <w:t>55</w:t>
      </w:r>
      <w:r>
        <w:rPr>
          <w:rFonts w:ascii="仿宋_GB2312" w:eastAsia="仿宋_GB2312" w:hint="eastAsia"/>
          <w:spacing w:val="-4"/>
          <w:sz w:val="32"/>
        </w:rPr>
        <w:t>户以上。</w:t>
      </w:r>
    </w:p>
    <w:p>
      <w:pPr>
        <w:spacing w:line="576" w:lineRule="exact"/>
        <w:ind w:firstLineChars="200" w:firstLine="640"/>
        <w:rPr>
          <w:rFonts w:ascii="楷体_GB2312" w:eastAsia="楷体_GB2312" w:cs="楷体_GB2312" w:hAnsi="楷体_GB2312"/>
          <w:sz w:val="32"/>
          <w:szCs w:val="32"/>
        </w:rPr>
      </w:pPr>
      <w:r>
        <w:rPr>
          <w:rFonts w:ascii="仿宋_GB2312" w:eastAsia="仿宋_GB2312" w:hint="eastAsia"/>
          <w:sz w:val="32"/>
          <w:szCs w:val="32"/>
        </w:rPr>
        <w:t>重点任务为：一是</w:t>
      </w:r>
      <w:r>
        <w:rPr>
          <w:rFonts w:ascii="仿宋_GB2312" w:eastAsia="仿宋_GB2312" w:hint="eastAsia"/>
          <w:spacing w:val="-8"/>
          <w:sz w:val="32"/>
          <w:szCs w:val="32"/>
        </w:rPr>
        <w:t>聚焦产业抓发展；</w:t>
      </w:r>
      <w:r>
        <w:rPr>
          <w:rFonts w:ascii="仿宋_GB2312" w:eastAsia="仿宋_GB2312" w:hint="eastAsia"/>
          <w:sz w:val="32"/>
          <w:szCs w:val="32"/>
        </w:rPr>
        <w:t>二是</w:t>
      </w:r>
      <w:r>
        <w:rPr>
          <w:rFonts w:ascii="仿宋_GB2312" w:eastAsia="仿宋_GB2312" w:hint="eastAsia"/>
          <w:spacing w:val="-8"/>
          <w:sz w:val="32"/>
          <w:szCs w:val="32"/>
        </w:rPr>
        <w:t>聚焦项目抓引建；</w:t>
      </w:r>
      <w:r>
        <w:rPr>
          <w:rFonts w:ascii="仿宋_GB2312" w:eastAsia="仿宋_GB2312" w:hint="eastAsia"/>
          <w:sz w:val="32"/>
          <w:szCs w:val="32"/>
        </w:rPr>
        <w:t>三是</w:t>
      </w:r>
      <w:r>
        <w:rPr>
          <w:rFonts w:ascii="仿宋_GB2312" w:eastAsia="仿宋_GB2312" w:hint="eastAsia"/>
          <w:spacing w:val="-8"/>
          <w:sz w:val="32"/>
          <w:szCs w:val="32"/>
        </w:rPr>
        <w:t>聚焦园区抓提质；</w:t>
      </w:r>
      <w:r>
        <w:rPr>
          <w:rFonts w:ascii="仿宋_GB2312" w:eastAsia="仿宋_GB2312" w:hint="eastAsia"/>
          <w:sz w:val="32"/>
          <w:szCs w:val="32"/>
        </w:rPr>
        <w:t>四是</w:t>
      </w:r>
      <w:r>
        <w:rPr>
          <w:rFonts w:ascii="仿宋_GB2312" w:eastAsia="仿宋_GB2312" w:hint="eastAsia"/>
          <w:spacing w:val="-8"/>
          <w:sz w:val="32"/>
          <w:szCs w:val="32"/>
        </w:rPr>
        <w:t>聚焦企业抓培育；</w:t>
      </w:r>
      <w:r>
        <w:rPr>
          <w:rFonts w:ascii="仿宋_GB2312" w:eastAsia="仿宋_GB2312" w:hint="eastAsia"/>
          <w:sz w:val="32"/>
          <w:szCs w:val="32"/>
        </w:rPr>
        <w:t>五是</w:t>
      </w:r>
      <w:r>
        <w:rPr>
          <w:rFonts w:ascii="仿宋_GB2312" w:eastAsia="仿宋_GB2312" w:cs="楷体_GB2312" w:hint="eastAsia"/>
          <w:spacing w:val="-8"/>
          <w:sz w:val="32"/>
          <w:szCs w:val="32"/>
        </w:rPr>
        <w:t>聚焦绿色抓转型</w:t>
      </w:r>
      <w:r>
        <w:rPr>
          <w:rFonts w:ascii="仿宋_GB2312" w:eastAsia="仿宋_GB2312" w:hint="eastAsia"/>
          <w:spacing w:val="-8"/>
          <w:sz w:val="32"/>
          <w:szCs w:val="32"/>
        </w:rPr>
        <w:t>；</w:t>
      </w:r>
      <w:r>
        <w:rPr>
          <w:rFonts w:ascii="仿宋_GB2312" w:eastAsia="仿宋_GB2312" w:hint="eastAsia"/>
          <w:sz w:val="32"/>
          <w:szCs w:val="32"/>
        </w:rPr>
        <w:t>六是</w:t>
      </w:r>
      <w:r>
        <w:rPr>
          <w:rFonts w:ascii="仿宋_GB2312" w:eastAsia="仿宋_GB2312" w:hint="eastAsia"/>
          <w:spacing w:val="-8"/>
          <w:sz w:val="32"/>
          <w:szCs w:val="32"/>
        </w:rPr>
        <w:t>聚焦数智抓融合。</w:t>
      </w:r>
    </w:p>
    <w:p>
      <w:pPr>
        <w:spacing w:line="576" w:lineRule="exact"/>
        <w:ind w:firstLineChars="200" w:firstLine="640"/>
        <w:outlineLvl w:val="0"/>
        <w:rPr>
          <w:rFonts w:ascii="黑体" w:eastAsia="黑体" w:cs="黑体" w:hAnsi="黑体"/>
          <w:sz w:val="32"/>
          <w:szCs w:val="32"/>
        </w:rPr>
      </w:pPr>
      <w:r>
        <w:rPr>
          <w:rFonts w:ascii="黑体" w:eastAsia="黑体" w:cs="黑体" w:hAnsi="黑体" w:hint="eastAsia"/>
          <w:sz w:val="32"/>
          <w:szCs w:val="32"/>
        </w:rPr>
        <w:t>二、部门预算单位构成</w:t>
      </w:r>
    </w:p>
    <w:p>
      <w:pPr>
        <w:spacing w:line="576" w:lineRule="exact"/>
        <w:ind w:firstLineChars="200" w:firstLine="640"/>
        <w:rPr>
          <w:rFonts w:ascii="仿宋_GB2312" w:eastAsia="仿宋_GB2312"/>
          <w:sz w:val="36"/>
          <w:szCs w:val="36"/>
        </w:rPr>
      </w:pPr>
      <w:r>
        <w:rPr>
          <w:rFonts w:ascii="仿宋_GB2312" w:eastAsia="仿宋_GB2312" w:hint="eastAsia"/>
          <w:sz w:val="32"/>
          <w:szCs w:val="32"/>
        </w:rPr>
        <w:t>广元市经济和信息化局无下属二级预算单位。下属二级单位</w:t>
      </w:r>
      <w:r>
        <w:rPr>
          <w:rFonts w:ascii="仿宋_GB2312" w:eastAsia="仿宋_GB2312"/>
          <w:sz w:val="32"/>
          <w:szCs w:val="32"/>
        </w:rPr>
        <w:t>4</w:t>
      </w:r>
      <w:r>
        <w:rPr>
          <w:rFonts w:ascii="仿宋_GB2312" w:eastAsia="仿宋_GB2312" w:hint="eastAsia"/>
          <w:sz w:val="32"/>
          <w:szCs w:val="32"/>
        </w:rPr>
        <w:t>个，其中参照公务员法管理的事业单位</w:t>
      </w:r>
      <w:r>
        <w:rPr>
          <w:rFonts w:ascii="仿宋_GB2312" w:eastAsia="仿宋_GB2312"/>
          <w:sz w:val="32"/>
          <w:szCs w:val="32"/>
        </w:rPr>
        <w:t>1</w:t>
      </w:r>
      <w:r>
        <w:rPr>
          <w:rFonts w:ascii="仿宋_GB2312" w:eastAsia="仿宋_GB2312" w:hint="eastAsia"/>
          <w:sz w:val="32"/>
          <w:szCs w:val="32"/>
        </w:rPr>
        <w:t>个，其他事业单位</w:t>
      </w:r>
      <w:r>
        <w:rPr>
          <w:rFonts w:ascii="仿宋_GB2312" w:eastAsia="仿宋_GB2312"/>
          <w:sz w:val="32"/>
          <w:szCs w:val="32"/>
        </w:rPr>
        <w:t>3</w:t>
      </w:r>
      <w:r>
        <w:rPr>
          <w:rFonts w:ascii="仿宋_GB2312" w:eastAsia="仿宋_GB2312" w:hint="eastAsia"/>
          <w:sz w:val="32"/>
          <w:szCs w:val="32"/>
        </w:rPr>
        <w:t>个。主要包括：广元市节能监察中心、广元市工业经济信息咨询中心、广元市企业发展促进中心、广元市无线电监测站。下属二级单位未单独编报预算。</w:t>
      </w:r>
    </w:p>
    <w:p>
      <w:pPr>
        <w:widowControl/>
        <w:shd w:val="clear" w:color="auto" w:fill="FFFFFF"/>
        <w:suppressAutoHyphens/>
        <w:spacing w:line="580" w:lineRule="atLeast"/>
        <w:rPr>
          <w:rFonts w:ascii="方正小标宋简体" w:eastAsia="方正小标宋简体" w:cs="方正小标宋简体" w:hAnsi="方正小标宋简体"/>
          <w:color w:val="000000"/>
          <w:kern w:val="0"/>
          <w:sz w:val="44"/>
          <w:szCs w:val="44"/>
          <w:shd w:val="clear" w:color="auto" w:fill="FFFFFF"/>
        </w:rPr>
      </w:pPr>
    </w:p>
    <w:p>
      <w:pPr>
        <w:widowControl/>
        <w:shd w:val="clear" w:color="auto" w:fill="FFFFFF"/>
        <w:suppressAutoHyphens/>
        <w:spacing w:line="580" w:lineRule="atLeast"/>
        <w:rPr>
          <w:rFonts w:ascii="方正小标宋简体" w:eastAsia="方正小标宋简体" w:cs="方正小标宋简体" w:hAnsi="方正小标宋简体"/>
          <w:color w:val="000000"/>
          <w:kern w:val="0"/>
          <w:sz w:val="44"/>
          <w:szCs w:val="44"/>
          <w:shd w:val="clear" w:color="auto" w:fill="FFFFFF"/>
        </w:rPr>
      </w:pPr>
    </w:p>
    <w:p>
      <w:pPr>
        <w:widowControl/>
        <w:shd w:val="clear" w:color="auto" w:fill="FFFFFF"/>
        <w:suppressAutoHyphens/>
        <w:spacing w:line="580" w:lineRule="atLeast"/>
        <w:rPr>
          <w:rFonts w:ascii="方正小标宋简体" w:eastAsia="方正小标宋简体" w:cs="方正小标宋简体" w:hAnsi="方正小标宋简体"/>
          <w:color w:val="000000"/>
          <w:kern w:val="0"/>
          <w:sz w:val="44"/>
          <w:szCs w:val="44"/>
          <w:shd w:val="clear" w:color="auto" w:fill="FFFFFF"/>
        </w:rPr>
      </w:pPr>
    </w:p>
    <w:p>
      <w:pPr>
        <w:widowControl/>
        <w:shd w:val="clear" w:color="auto" w:fill="FFFFFF"/>
        <w:suppressAutoHyphens/>
        <w:spacing w:line="580" w:lineRule="atLeast"/>
        <w:rPr>
          <w:rFonts w:ascii="方正小标宋简体" w:eastAsia="方正小标宋简体" w:cs="方正小标宋简体" w:hAnsi="方正小标宋简体"/>
          <w:color w:val="000000"/>
          <w:kern w:val="0"/>
          <w:sz w:val="44"/>
          <w:szCs w:val="44"/>
          <w:shd w:val="clear" w:color="auto" w:fill="FFFFFF"/>
        </w:rPr>
      </w:pPr>
    </w:p>
    <w:p>
      <w:pPr>
        <w:widowControl/>
        <w:shd w:val="clear" w:color="auto" w:fill="FFFFFF"/>
        <w:suppressAutoHyphens/>
        <w:spacing w:line="580" w:lineRule="atLeast"/>
        <w:rPr>
          <w:rFonts w:ascii="方正小标宋简体" w:eastAsia="方正小标宋简体" w:cs="方正小标宋简体" w:hAnsi="方正小标宋简体"/>
          <w:color w:val="000000"/>
          <w:kern w:val="0"/>
          <w:sz w:val="44"/>
          <w:szCs w:val="44"/>
          <w:shd w:val="clear" w:color="auto" w:fill="FFFFFF"/>
        </w:rPr>
      </w:pPr>
    </w:p>
    <w:p/>
    <w:p>
      <w:pPr>
        <w:widowControl/>
        <w:numPr>
          <w:ilvl w:val="0"/>
          <w:numId w:val="4"/>
        </w:numPr>
        <w:shd w:val="clear" w:color="auto" w:fill="FFFFFF"/>
        <w:suppressAutoHyphens/>
        <w:spacing w:line="560" w:lineRule="exact"/>
        <w:ind w:leftChars="150" w:left="315" w:rightChars="150" w:right="315"/>
        <w:jc w:val="center"/>
        <w:outlineLvl w:val="0"/>
        <w:rPr>
          <w:rFonts w:ascii="方正小标宋简体" w:eastAsia="方正小标宋简体" w:cs="方正小标宋简体" w:hAnsi="方正小标宋简体"/>
          <w:color w:val="000000"/>
          <w:kern w:val="0"/>
          <w:sz w:val="44"/>
          <w:szCs w:val="44"/>
          <w:shd w:val="clear" w:color="auto" w:fill="FFFFFF"/>
        </w:rPr>
      </w:pPr>
      <w:bookmarkStart w:id="5" w:name="_Toc188545581"/>
      <w:bookmarkStart w:id="6" w:name="_Toc188545360"/>
      <w:r>
        <w:rPr>
          <w:rFonts w:ascii="方正小标宋简体" w:eastAsia="方正小标宋简体" w:cs="方正小标宋简体" w:hAnsi="方正小标宋简体" w:hint="eastAsia"/>
          <w:color w:val="000000"/>
          <w:kern w:val="0"/>
          <w:sz w:val="44"/>
          <w:szCs w:val="44"/>
          <w:shd w:val="clear" w:color="auto" w:fill="FFFFFF"/>
        </w:rPr>
        <w:t>广元市经济和信息化局</w:t>
      </w:r>
      <w:r>
        <w:rPr>
          <w:rFonts w:ascii="方正小标宋简体" w:eastAsia="方正小标宋简体" w:cs="方正小标宋简体" w:hAnsi="方正小标宋简体"/>
          <w:color w:val="000000"/>
          <w:kern w:val="0"/>
          <w:sz w:val="44"/>
          <w:szCs w:val="44"/>
          <w:shd w:val="clear" w:color="auto" w:fill="FFFFFF"/>
        </w:rPr>
        <w:t>2025</w:t>
      </w:r>
      <w:r>
        <w:rPr>
          <w:rFonts w:ascii="方正小标宋简体" w:eastAsia="方正小标宋简体" w:cs="方正小标宋简体" w:hAnsi="方正小标宋简体" w:hint="eastAsia"/>
          <w:color w:val="000000"/>
          <w:kern w:val="0"/>
          <w:sz w:val="44"/>
          <w:szCs w:val="44"/>
          <w:shd w:val="clear" w:color="auto" w:fill="FFFFFF"/>
        </w:rPr>
        <w:t>年部门预算情况说明</w:t>
      </w:r>
      <w:bookmarkEnd w:id="5"/>
      <w:bookmarkEnd w:id="6"/>
    </w:p>
    <w:p>
      <w:pPr>
        <w:spacing w:line="576" w:lineRule="exact"/>
        <w:ind w:firstLineChars="200" w:firstLine="640"/>
        <w:rPr>
          <w:rFonts w:ascii="黑体" w:eastAsia="黑体" w:cs="黑体" w:hAnsi="黑体"/>
          <w:sz w:val="32"/>
          <w:szCs w:val="32"/>
        </w:rPr>
      </w:pPr>
    </w:p>
    <w:p>
      <w:pPr>
        <w:spacing w:line="576" w:lineRule="exact"/>
        <w:ind w:firstLineChars="200" w:firstLine="640"/>
        <w:rPr>
          <w:rFonts w:ascii="黑体" w:eastAsia="黑体" w:cs="黑体" w:hAnsi="黑体"/>
          <w:sz w:val="32"/>
          <w:szCs w:val="32"/>
        </w:rPr>
      </w:pPr>
      <w:r>
        <w:rPr>
          <w:rFonts w:ascii="黑体" w:eastAsia="黑体" w:cs="黑体" w:hAnsi="黑体" w:hint="eastAsia"/>
          <w:sz w:val="32"/>
          <w:szCs w:val="32"/>
        </w:rPr>
        <w:t>一、收支预算情况说明</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按照综合预算的原则，市经济和信息化局所有收入和支出均纳入部门预算管理。收入包括：一般公共预算拨款收入、其他收入；支出包括：一般公共服务支出、社会保障和就业支出、卫生健康支出、节能环保支出、住房保障支出。市经济和信息化局</w:t>
      </w:r>
      <w:r>
        <w:rPr>
          <w:rFonts w:ascii="仿宋_GB2312" w:eastAsia="仿宋_GB2312" w:cs="仿宋_GB2312" w:hAnsi="仿宋_GB2312"/>
          <w:sz w:val="32"/>
          <w:szCs w:val="32"/>
        </w:rPr>
        <w:t>2025</w:t>
      </w:r>
      <w:r>
        <w:rPr>
          <w:rFonts w:ascii="仿宋_GB2312" w:eastAsia="仿宋_GB2312" w:cs="仿宋_GB2312" w:hAnsi="仿宋_GB2312" w:hint="eastAsia"/>
          <w:sz w:val="32"/>
          <w:szCs w:val="32"/>
        </w:rPr>
        <w:t>年收支预算总数</w:t>
      </w:r>
      <w:r>
        <w:rPr>
          <w:rFonts w:ascii="仿宋_GB2312" w:eastAsia="仿宋_GB2312" w:cs="仿宋_GB2312" w:hAnsi="仿宋_GB2312"/>
          <w:sz w:val="32"/>
          <w:szCs w:val="32"/>
        </w:rPr>
        <w:t>2800.61</w:t>
      </w:r>
      <w:r>
        <w:rPr>
          <w:rFonts w:ascii="仿宋_GB2312" w:eastAsia="仿宋_GB2312" w:cs="仿宋_GB2312" w:hAnsi="仿宋_GB2312" w:hint="eastAsia"/>
          <w:sz w:val="32"/>
          <w:szCs w:val="32"/>
        </w:rPr>
        <w:t>万元</w:t>
      </w:r>
      <w:r>
        <w:rPr>
          <w:rFonts w:ascii="仿宋_GB2312" w:eastAsia="仿宋_GB2312" w:cs="仿宋_GB2312" w:hAnsi="仿宋_GB2312"/>
          <w:sz w:val="32"/>
          <w:szCs w:val="32"/>
        </w:rPr>
        <w:t>,</w:t>
      </w:r>
      <w:r>
        <w:rPr>
          <w:rFonts w:ascii="仿宋_GB2312" w:eastAsia="仿宋_GB2312" w:cs="仿宋_GB2312" w:hAnsi="仿宋_GB2312" w:hint="eastAsia"/>
          <w:sz w:val="32"/>
          <w:szCs w:val="32"/>
        </w:rPr>
        <w:t>比</w:t>
      </w:r>
      <w:r>
        <w:rPr>
          <w:rFonts w:ascii="仿宋_GB2312" w:eastAsia="仿宋_GB2312" w:cs="仿宋_GB2312" w:hAnsi="仿宋_GB2312"/>
          <w:sz w:val="32"/>
          <w:szCs w:val="32"/>
        </w:rPr>
        <w:t>2024</w:t>
      </w:r>
      <w:r>
        <w:rPr>
          <w:rFonts w:ascii="仿宋_GB2312" w:eastAsia="仿宋_GB2312" w:cs="仿宋_GB2312" w:hAnsi="仿宋_GB2312" w:hint="eastAsia"/>
          <w:sz w:val="32"/>
          <w:szCs w:val="32"/>
        </w:rPr>
        <w:t>年收支预算总数减少</w:t>
      </w:r>
      <w:r>
        <w:rPr>
          <w:rFonts w:ascii="仿宋_GB2312" w:eastAsia="仿宋_GB2312" w:cs="仿宋_GB2312" w:hAnsi="仿宋_GB2312"/>
          <w:sz w:val="32"/>
          <w:szCs w:val="32"/>
        </w:rPr>
        <w:t>166.99</w:t>
      </w:r>
      <w:r>
        <w:rPr>
          <w:rFonts w:ascii="仿宋_GB2312" w:eastAsia="仿宋_GB2312" w:cs="仿宋_GB2312" w:hAnsi="仿宋_GB2312" w:hint="eastAsia"/>
          <w:sz w:val="32"/>
          <w:szCs w:val="32"/>
        </w:rPr>
        <w:t>万元，主要原因是其他收入大幅减少。</w:t>
      </w:r>
    </w:p>
    <w:p>
      <w:pPr>
        <w:spacing w:line="576" w:lineRule="exact"/>
        <w:ind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（一）收入预算情况</w:t>
      </w:r>
    </w:p>
    <w:p>
      <w:pPr>
        <w:spacing w:line="576" w:lineRule="exact"/>
        <w:ind w:firstLineChars="200" w:firstLine="640"/>
        <w:rPr>
          <w:rFonts w:ascii="仿宋_GB2312" w:eastAsia="仿宋_GB2312" w:cs="仿宋_GB2312" w:hAnsi="仿宋_GB2312"/>
          <w:b/>
          <w:bCs/>
          <w:sz w:val="32"/>
          <w:szCs w:val="32"/>
        </w:rPr>
      </w:pPr>
      <w:r>
        <w:rPr>
          <w:rFonts w:ascii="仿宋_GB2312" w:eastAsia="仿宋_GB2312" w:cs="仿宋_GB2312" w:hAnsi="仿宋_GB2312" w:hint="eastAsia"/>
          <w:sz w:val="32"/>
          <w:szCs w:val="32"/>
        </w:rPr>
        <w:t>市经济和信息化局</w:t>
      </w:r>
      <w:r>
        <w:rPr>
          <w:rFonts w:ascii="仿宋_GB2312" w:eastAsia="仿宋_GB2312" w:cs="仿宋_GB2312" w:hAnsi="仿宋_GB2312"/>
          <w:sz w:val="32"/>
          <w:szCs w:val="32"/>
        </w:rPr>
        <w:t>2025</w:t>
      </w:r>
      <w:r>
        <w:rPr>
          <w:rFonts w:ascii="仿宋_GB2312" w:eastAsia="仿宋_GB2312" w:cs="仿宋_GB2312" w:hAnsi="仿宋_GB2312" w:hint="eastAsia"/>
          <w:sz w:val="32"/>
          <w:szCs w:val="32"/>
        </w:rPr>
        <w:t>年收入预算</w:t>
      </w:r>
      <w:r>
        <w:rPr>
          <w:rFonts w:ascii="仿宋_GB2312" w:eastAsia="仿宋_GB2312" w:cs="仿宋_GB2312" w:hAnsi="仿宋_GB2312"/>
          <w:sz w:val="32"/>
          <w:szCs w:val="32"/>
        </w:rPr>
        <w:t>2800.61</w:t>
      </w:r>
      <w:r>
        <w:rPr>
          <w:rFonts w:ascii="仿宋_GB2312" w:eastAsia="仿宋_GB2312" w:cs="仿宋_GB2312" w:hAnsi="仿宋_GB2312" w:hint="eastAsia"/>
          <w:sz w:val="32"/>
          <w:szCs w:val="32"/>
        </w:rPr>
        <w:t>万元，其中：一般公共预算拨款收入</w:t>
      </w:r>
      <w:r>
        <w:rPr>
          <w:rFonts w:ascii="仿宋_GB2312" w:eastAsia="仿宋_GB2312" w:cs="仿宋_GB2312" w:hAnsi="仿宋_GB2312"/>
          <w:sz w:val="32"/>
          <w:szCs w:val="32"/>
        </w:rPr>
        <w:t>2743.50</w:t>
      </w:r>
      <w:r>
        <w:rPr>
          <w:rFonts w:ascii="仿宋_GB2312" w:eastAsia="仿宋_GB2312" w:cs="仿宋_GB2312" w:hAnsi="仿宋_GB2312" w:hint="eastAsia"/>
          <w:sz w:val="32"/>
          <w:szCs w:val="32"/>
        </w:rPr>
        <w:t>万元，占</w:t>
      </w:r>
      <w:r>
        <w:rPr>
          <w:rFonts w:ascii="仿宋_GB2312" w:eastAsia="仿宋_GB2312" w:cs="仿宋_GB2312" w:hAnsi="仿宋_GB2312"/>
          <w:sz w:val="32"/>
          <w:szCs w:val="32"/>
        </w:rPr>
        <w:t>97.96%</w:t>
      </w:r>
      <w:r>
        <w:rPr>
          <w:rFonts w:ascii="仿宋_GB2312" w:eastAsia="仿宋_GB2312" w:cs="仿宋_GB2312" w:hAnsi="仿宋_GB2312" w:hint="eastAsia"/>
          <w:sz w:val="32"/>
          <w:szCs w:val="32"/>
        </w:rPr>
        <w:t>；其他收入</w:t>
      </w:r>
      <w:r>
        <w:rPr>
          <w:rFonts w:ascii="仿宋_GB2312" w:eastAsia="仿宋_GB2312" w:cs="仿宋_GB2312" w:hAnsi="仿宋_GB2312"/>
          <w:sz w:val="32"/>
          <w:szCs w:val="32"/>
        </w:rPr>
        <w:t>57.11</w:t>
      </w:r>
      <w:r>
        <w:rPr>
          <w:rFonts w:ascii="仿宋_GB2312" w:eastAsia="仿宋_GB2312" w:cs="仿宋_GB2312" w:hAnsi="仿宋_GB2312" w:hint="eastAsia"/>
          <w:sz w:val="32"/>
          <w:szCs w:val="32"/>
        </w:rPr>
        <w:t>万元，占</w:t>
      </w:r>
      <w:r>
        <w:rPr>
          <w:rFonts w:ascii="仿宋_GB2312" w:eastAsia="仿宋_GB2312" w:cs="仿宋_GB2312" w:hAnsi="仿宋_GB2312"/>
          <w:sz w:val="32"/>
          <w:szCs w:val="32"/>
        </w:rPr>
        <w:t>2.04%</w:t>
      </w:r>
      <w:r>
        <w:rPr>
          <w:rFonts w:ascii="仿宋_GB2312" w:eastAsia="仿宋_GB2312" w:cs="仿宋_GB2312" w:hAnsi="仿宋_GB2312" w:hint="eastAsia"/>
          <w:sz w:val="32"/>
          <w:szCs w:val="32"/>
        </w:rPr>
        <w:t>。</w:t>
      </w:r>
    </w:p>
    <w:p>
      <w:pPr>
        <w:spacing w:line="576" w:lineRule="exact"/>
        <w:ind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（二）支出预算情况</w:t>
      </w:r>
    </w:p>
    <w:p>
      <w:pPr>
        <w:spacing w:line="576" w:lineRule="exact"/>
        <w:ind w:firstLineChars="200" w:firstLine="640"/>
        <w:rPr>
          <w:rFonts w:ascii="仿宋_GB2312" w:eastAsia="仿宋_GB2312" w:cs="仿宋_GB2312" w:hAnsi="仿宋_GB2312"/>
          <w:b/>
          <w:bCs/>
          <w:sz w:val="32"/>
          <w:szCs w:val="32"/>
        </w:rPr>
      </w:pPr>
      <w:r>
        <w:rPr>
          <w:rFonts w:ascii="仿宋_GB2312" w:eastAsia="仿宋_GB2312" w:cs="仿宋_GB2312" w:hAnsi="仿宋_GB2312" w:hint="eastAsia"/>
          <w:sz w:val="32"/>
          <w:szCs w:val="32"/>
        </w:rPr>
        <w:t>市经济和信息化局</w:t>
      </w:r>
      <w:r>
        <w:rPr>
          <w:rFonts w:ascii="仿宋_GB2312" w:eastAsia="仿宋_GB2312" w:cs="仿宋_GB2312" w:hAnsi="仿宋_GB2312"/>
          <w:sz w:val="32"/>
          <w:szCs w:val="32"/>
        </w:rPr>
        <w:t>2025</w:t>
      </w:r>
      <w:r>
        <w:rPr>
          <w:rFonts w:ascii="仿宋_GB2312" w:eastAsia="仿宋_GB2312" w:cs="仿宋_GB2312" w:hAnsi="仿宋_GB2312" w:hint="eastAsia"/>
          <w:sz w:val="32"/>
          <w:szCs w:val="32"/>
        </w:rPr>
        <w:t>年支出预算</w:t>
      </w:r>
      <w:r>
        <w:rPr>
          <w:rFonts w:ascii="仿宋_GB2312" w:eastAsia="仿宋_GB2312" w:cs="仿宋_GB2312" w:hAnsi="仿宋_GB2312"/>
          <w:sz w:val="32"/>
          <w:szCs w:val="32"/>
        </w:rPr>
        <w:t>2800.61</w:t>
      </w:r>
      <w:r>
        <w:rPr>
          <w:rFonts w:ascii="仿宋_GB2312" w:eastAsia="仿宋_GB2312" w:cs="仿宋_GB2312" w:hAnsi="仿宋_GB2312" w:hint="eastAsia"/>
          <w:sz w:val="32"/>
          <w:szCs w:val="32"/>
        </w:rPr>
        <w:t>万元，其中：基本支出</w:t>
      </w:r>
      <w:r>
        <w:rPr>
          <w:rFonts w:ascii="仿宋_GB2312" w:eastAsia="仿宋_GB2312" w:cs="仿宋_GB2312" w:hAnsi="仿宋_GB2312"/>
          <w:sz w:val="32"/>
          <w:szCs w:val="32"/>
        </w:rPr>
        <w:t>2537.05</w:t>
      </w:r>
      <w:r>
        <w:rPr>
          <w:rFonts w:ascii="仿宋_GB2312" w:eastAsia="仿宋_GB2312" w:cs="仿宋_GB2312" w:hAnsi="仿宋_GB2312" w:hint="eastAsia"/>
          <w:sz w:val="32"/>
          <w:szCs w:val="32"/>
        </w:rPr>
        <w:t>万元，占</w:t>
      </w:r>
      <w:r>
        <w:rPr>
          <w:rFonts w:ascii="仿宋_GB2312" w:eastAsia="仿宋_GB2312" w:cs="仿宋_GB2312" w:hAnsi="仿宋_GB2312"/>
          <w:sz w:val="32"/>
          <w:szCs w:val="32"/>
        </w:rPr>
        <w:t>90.59%</w:t>
      </w:r>
      <w:r>
        <w:rPr>
          <w:rFonts w:ascii="仿宋_GB2312" w:eastAsia="仿宋_GB2312" w:cs="仿宋_GB2312" w:hAnsi="仿宋_GB2312" w:hint="eastAsia"/>
          <w:sz w:val="32"/>
          <w:szCs w:val="32"/>
        </w:rPr>
        <w:t>；项目支出</w:t>
      </w:r>
      <w:r>
        <w:rPr>
          <w:rFonts w:ascii="仿宋_GB2312" w:eastAsia="仿宋_GB2312" w:cs="仿宋_GB2312" w:hAnsi="仿宋_GB2312"/>
          <w:sz w:val="32"/>
          <w:szCs w:val="32"/>
        </w:rPr>
        <w:t>263.56</w:t>
      </w:r>
      <w:r>
        <w:rPr>
          <w:rFonts w:ascii="仿宋_GB2312" w:eastAsia="仿宋_GB2312" w:cs="仿宋_GB2312" w:hAnsi="仿宋_GB2312" w:hint="eastAsia"/>
          <w:sz w:val="32"/>
          <w:szCs w:val="32"/>
        </w:rPr>
        <w:t>万元，占</w:t>
      </w:r>
      <w:r>
        <w:rPr>
          <w:rFonts w:ascii="仿宋_GB2312" w:eastAsia="仿宋_GB2312" w:cs="仿宋_GB2312" w:hAnsi="仿宋_GB2312"/>
          <w:sz w:val="32"/>
          <w:szCs w:val="32"/>
        </w:rPr>
        <w:t>9.41%</w:t>
      </w:r>
      <w:r>
        <w:rPr>
          <w:rFonts w:ascii="仿宋_GB2312" w:eastAsia="仿宋_GB2312" w:cs="仿宋_GB2312" w:hAnsi="仿宋_GB2312" w:hint="eastAsia"/>
          <w:sz w:val="32"/>
          <w:szCs w:val="32"/>
        </w:rPr>
        <w:t>。</w:t>
      </w:r>
    </w:p>
    <w:p>
      <w:pPr>
        <w:spacing w:line="576" w:lineRule="exact"/>
        <w:ind w:firstLineChars="200" w:firstLine="640"/>
        <w:rPr>
          <w:rFonts w:ascii="黑体" w:eastAsia="黑体" w:cs="黑体" w:hAnsi="黑体"/>
          <w:sz w:val="32"/>
          <w:szCs w:val="32"/>
        </w:rPr>
      </w:pPr>
      <w:r>
        <w:rPr>
          <w:rFonts w:ascii="黑体" w:eastAsia="黑体" w:cs="黑体" w:hAnsi="黑体" w:hint="eastAsia"/>
          <w:sz w:val="32"/>
          <w:szCs w:val="32"/>
        </w:rPr>
        <w:t>二、财政拨款收支预算情况说明</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市经济和信息化局</w:t>
      </w:r>
      <w:r>
        <w:rPr>
          <w:rFonts w:ascii="仿宋_GB2312" w:eastAsia="仿宋_GB2312" w:cs="仿宋_GB2312" w:hAnsi="仿宋_GB2312"/>
          <w:sz w:val="32"/>
          <w:szCs w:val="32"/>
        </w:rPr>
        <w:t>2025</w:t>
      </w:r>
      <w:r>
        <w:rPr>
          <w:rFonts w:ascii="仿宋_GB2312" w:eastAsia="仿宋_GB2312" w:cs="仿宋_GB2312" w:hAnsi="仿宋_GB2312" w:hint="eastAsia"/>
          <w:sz w:val="32"/>
          <w:szCs w:val="32"/>
        </w:rPr>
        <w:t>年财政拨款收支预算总数</w:t>
      </w:r>
      <w:r>
        <w:rPr>
          <w:rFonts w:ascii="仿宋_GB2312" w:eastAsia="仿宋_GB2312" w:cs="仿宋_GB2312" w:hAnsi="仿宋_GB2312"/>
          <w:sz w:val="32"/>
          <w:szCs w:val="32"/>
        </w:rPr>
        <w:t>2743.50</w:t>
      </w:r>
      <w:r>
        <w:rPr>
          <w:rFonts w:ascii="仿宋_GB2312" w:eastAsia="仿宋_GB2312" w:cs="仿宋_GB2312" w:hAnsi="仿宋_GB2312" w:hint="eastAsia"/>
          <w:sz w:val="32"/>
          <w:szCs w:val="32"/>
        </w:rPr>
        <w:t>万元</w:t>
      </w:r>
      <w:r>
        <w:rPr>
          <w:rFonts w:ascii="仿宋_GB2312" w:eastAsia="仿宋_GB2312" w:cs="仿宋_GB2312" w:hAnsi="仿宋_GB2312"/>
          <w:sz w:val="32"/>
          <w:szCs w:val="32"/>
        </w:rPr>
        <w:t>,</w:t>
      </w:r>
      <w:r>
        <w:rPr>
          <w:rFonts w:ascii="仿宋_GB2312" w:eastAsia="仿宋_GB2312" w:cs="仿宋_GB2312" w:hAnsi="仿宋_GB2312" w:hint="eastAsia"/>
          <w:sz w:val="32"/>
          <w:szCs w:val="32"/>
        </w:rPr>
        <w:t>比</w:t>
      </w:r>
      <w:r>
        <w:rPr>
          <w:rFonts w:ascii="仿宋_GB2312" w:eastAsia="仿宋_GB2312" w:cs="仿宋_GB2312" w:hAnsi="仿宋_GB2312"/>
          <w:sz w:val="32"/>
          <w:szCs w:val="32"/>
        </w:rPr>
        <w:t>2024</w:t>
      </w:r>
      <w:r>
        <w:rPr>
          <w:rFonts w:ascii="仿宋_GB2312" w:eastAsia="仿宋_GB2312" w:cs="仿宋_GB2312" w:hAnsi="仿宋_GB2312" w:hint="eastAsia"/>
          <w:sz w:val="32"/>
          <w:szCs w:val="32"/>
        </w:rPr>
        <w:t>年财政拨款收支预算总数减少</w:t>
      </w:r>
      <w:r>
        <w:rPr>
          <w:rFonts w:ascii="仿宋_GB2312" w:eastAsia="仿宋_GB2312" w:cs="仿宋_GB2312" w:hAnsi="仿宋_GB2312"/>
          <w:sz w:val="32"/>
          <w:szCs w:val="32"/>
        </w:rPr>
        <w:t>90.30</w:t>
      </w:r>
      <w:r>
        <w:rPr>
          <w:rFonts w:ascii="仿宋_GB2312" w:eastAsia="仿宋_GB2312" w:cs="仿宋_GB2312" w:hAnsi="仿宋_GB2312" w:hint="eastAsia"/>
          <w:sz w:val="32"/>
          <w:szCs w:val="32"/>
        </w:rPr>
        <w:t>万元，主要原因是坚持“过紧日子”，大力压减一般性支出。</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收入包括：本年一般公共预算拨款收入</w:t>
      </w:r>
      <w:r>
        <w:rPr>
          <w:rFonts w:ascii="仿宋_GB2312" w:eastAsia="仿宋_GB2312" w:cs="仿宋_GB2312" w:hAnsi="仿宋_GB2312"/>
          <w:sz w:val="32"/>
          <w:szCs w:val="32"/>
        </w:rPr>
        <w:t>2743.50</w:t>
      </w:r>
      <w:r>
        <w:rPr>
          <w:rFonts w:ascii="仿宋_GB2312" w:eastAsia="仿宋_GB2312" w:cs="仿宋_GB2312" w:hAnsi="仿宋_GB2312" w:hint="eastAsia"/>
          <w:sz w:val="32"/>
          <w:szCs w:val="32"/>
        </w:rPr>
        <w:t>万元；支出包括：一般公共服务支出</w:t>
      </w:r>
      <w:r>
        <w:rPr>
          <w:rFonts w:ascii="仿宋_GB2312" w:eastAsia="仿宋_GB2312" w:cs="仿宋_GB2312" w:hAnsi="仿宋_GB2312"/>
          <w:sz w:val="32"/>
          <w:szCs w:val="32"/>
        </w:rPr>
        <w:t>2299.24</w:t>
      </w:r>
      <w:r>
        <w:rPr>
          <w:rFonts w:ascii="仿宋_GB2312" w:eastAsia="仿宋_GB2312" w:cs="仿宋_GB2312" w:hAnsi="仿宋_GB2312" w:hint="eastAsia"/>
          <w:sz w:val="32"/>
          <w:szCs w:val="32"/>
        </w:rPr>
        <w:t>万元、社会保障和就业支出</w:t>
      </w:r>
      <w:r>
        <w:rPr>
          <w:rFonts w:ascii="仿宋_GB2312" w:eastAsia="仿宋_GB2312" w:cs="仿宋_GB2312" w:hAnsi="仿宋_GB2312"/>
          <w:sz w:val="32"/>
          <w:szCs w:val="32"/>
        </w:rPr>
        <w:t>207.17</w:t>
      </w:r>
      <w:r>
        <w:rPr>
          <w:rFonts w:ascii="仿宋_GB2312" w:eastAsia="仿宋_GB2312" w:cs="仿宋_GB2312" w:hAnsi="仿宋_GB2312" w:hint="eastAsia"/>
          <w:sz w:val="32"/>
          <w:szCs w:val="32"/>
        </w:rPr>
        <w:t>万元、卫生健康支出</w:t>
      </w:r>
      <w:r>
        <w:rPr>
          <w:rFonts w:ascii="仿宋_GB2312" w:eastAsia="仿宋_GB2312" w:cs="仿宋_GB2312" w:hAnsi="仿宋_GB2312"/>
          <w:sz w:val="32"/>
          <w:szCs w:val="32"/>
        </w:rPr>
        <w:t>65.76</w:t>
      </w:r>
      <w:r>
        <w:rPr>
          <w:rFonts w:ascii="仿宋_GB2312" w:eastAsia="仿宋_GB2312" w:cs="仿宋_GB2312" w:hAnsi="仿宋_GB2312" w:hint="eastAsia"/>
          <w:sz w:val="32"/>
          <w:szCs w:val="32"/>
        </w:rPr>
        <w:t>万元、住房保障支出</w:t>
      </w:r>
      <w:r>
        <w:rPr>
          <w:rFonts w:ascii="仿宋_GB2312" w:eastAsia="仿宋_GB2312" w:cs="仿宋_GB2312" w:hAnsi="仿宋_GB2312"/>
          <w:sz w:val="32"/>
          <w:szCs w:val="32"/>
        </w:rPr>
        <w:t>171.33</w:t>
      </w:r>
      <w:r>
        <w:rPr>
          <w:rFonts w:ascii="仿宋_GB2312" w:eastAsia="仿宋_GB2312" w:cs="仿宋_GB2312" w:hAnsi="仿宋_GB2312" w:hint="eastAsia"/>
          <w:sz w:val="32"/>
          <w:szCs w:val="32"/>
        </w:rPr>
        <w:t>万元。</w:t>
      </w:r>
    </w:p>
    <w:p>
      <w:pPr>
        <w:spacing w:line="576" w:lineRule="exact"/>
        <w:ind w:firstLineChars="200" w:firstLine="640"/>
        <w:rPr>
          <w:rFonts w:ascii="黑体" w:eastAsia="黑体" w:cs="黑体" w:hAnsi="黑体"/>
          <w:sz w:val="32"/>
          <w:szCs w:val="32"/>
        </w:rPr>
      </w:pPr>
      <w:r>
        <w:rPr>
          <w:rFonts w:ascii="黑体" w:eastAsia="黑体" w:cs="黑体" w:hAnsi="黑体" w:hint="eastAsia"/>
          <w:sz w:val="32"/>
          <w:szCs w:val="32"/>
        </w:rPr>
        <w:t>三、一般公共预算当年拨款情况说明</w:t>
      </w:r>
    </w:p>
    <w:p>
      <w:pPr>
        <w:spacing w:line="576" w:lineRule="exact"/>
        <w:ind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（一）一般公共预算当年拨款规模变化情况</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市经济和信息化局</w:t>
      </w:r>
      <w:r>
        <w:rPr>
          <w:rFonts w:ascii="仿宋_GB2312" w:eastAsia="仿宋_GB2312" w:cs="仿宋_GB2312" w:hAnsi="仿宋_GB2312"/>
          <w:sz w:val="32"/>
          <w:szCs w:val="32"/>
        </w:rPr>
        <w:t>2025</w:t>
      </w:r>
      <w:r>
        <w:rPr>
          <w:rFonts w:ascii="仿宋_GB2312" w:eastAsia="仿宋_GB2312" w:cs="仿宋_GB2312" w:hAnsi="仿宋_GB2312" w:hint="eastAsia"/>
          <w:sz w:val="32"/>
          <w:szCs w:val="32"/>
        </w:rPr>
        <w:t>年一般公共预算当年拨款</w:t>
      </w:r>
      <w:r>
        <w:rPr>
          <w:rFonts w:ascii="仿宋_GB2312" w:eastAsia="仿宋_GB2312" w:cs="仿宋_GB2312" w:hAnsi="仿宋_GB2312"/>
          <w:sz w:val="32"/>
          <w:szCs w:val="32"/>
        </w:rPr>
        <w:t>2743.50</w:t>
      </w:r>
      <w:r>
        <w:rPr>
          <w:rFonts w:ascii="仿宋_GB2312" w:eastAsia="仿宋_GB2312" w:cs="仿宋_GB2312" w:hAnsi="仿宋_GB2312" w:hint="eastAsia"/>
          <w:sz w:val="32"/>
          <w:szCs w:val="32"/>
        </w:rPr>
        <w:t>万元，比</w:t>
      </w:r>
      <w:r>
        <w:rPr>
          <w:rFonts w:ascii="仿宋_GB2312" w:eastAsia="仿宋_GB2312" w:cs="仿宋_GB2312" w:hAnsi="仿宋_GB2312"/>
          <w:sz w:val="32"/>
          <w:szCs w:val="32"/>
        </w:rPr>
        <w:t>2024</w:t>
      </w:r>
      <w:r>
        <w:rPr>
          <w:rFonts w:ascii="仿宋_GB2312" w:eastAsia="仿宋_GB2312" w:cs="仿宋_GB2312" w:hAnsi="仿宋_GB2312" w:hint="eastAsia"/>
          <w:sz w:val="32"/>
          <w:szCs w:val="32"/>
        </w:rPr>
        <w:t>年预算数减少</w:t>
      </w:r>
      <w:r>
        <w:rPr>
          <w:rFonts w:ascii="仿宋_GB2312" w:eastAsia="仿宋_GB2312" w:cs="仿宋_GB2312" w:hAnsi="仿宋_GB2312"/>
          <w:sz w:val="32"/>
          <w:szCs w:val="32"/>
        </w:rPr>
        <w:t>90.30</w:t>
      </w:r>
      <w:r>
        <w:rPr>
          <w:rFonts w:ascii="仿宋_GB2312" w:eastAsia="仿宋_GB2312" w:cs="仿宋_GB2312" w:hAnsi="仿宋_GB2312" w:hint="eastAsia"/>
          <w:sz w:val="32"/>
          <w:szCs w:val="32"/>
        </w:rPr>
        <w:t>万元，主要原因是坚持“过紧日子”，大力压减一般性支出。</w:t>
      </w:r>
    </w:p>
    <w:p>
      <w:pPr>
        <w:spacing w:line="576" w:lineRule="exact"/>
        <w:ind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（二）一般公共预算当年拨款结构情况</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一般公共服务支出</w:t>
      </w:r>
      <w:r>
        <w:rPr>
          <w:rFonts w:ascii="仿宋_GB2312" w:eastAsia="仿宋_GB2312" w:cs="仿宋_GB2312" w:hAnsi="仿宋_GB2312"/>
          <w:sz w:val="32"/>
          <w:szCs w:val="32"/>
        </w:rPr>
        <w:t>2299.24</w:t>
      </w:r>
      <w:r>
        <w:rPr>
          <w:rFonts w:ascii="仿宋_GB2312" w:eastAsia="仿宋_GB2312" w:cs="仿宋_GB2312" w:hAnsi="仿宋_GB2312" w:hint="eastAsia"/>
          <w:sz w:val="32"/>
          <w:szCs w:val="32"/>
        </w:rPr>
        <w:t>万元，占</w:t>
      </w:r>
      <w:r>
        <w:rPr>
          <w:rFonts w:ascii="仿宋_GB2312" w:eastAsia="仿宋_GB2312" w:cs="仿宋_GB2312" w:hAnsi="仿宋_GB2312"/>
          <w:sz w:val="32"/>
          <w:szCs w:val="32"/>
        </w:rPr>
        <w:t>83.8%</w:t>
      </w:r>
      <w:r>
        <w:rPr>
          <w:rFonts w:ascii="仿宋_GB2312" w:eastAsia="仿宋_GB2312" w:cs="仿宋_GB2312" w:hAnsi="仿宋_GB2312" w:hint="eastAsia"/>
          <w:sz w:val="32"/>
          <w:szCs w:val="32"/>
        </w:rPr>
        <w:t>；社会保障和就业支出</w:t>
      </w:r>
      <w:r>
        <w:rPr>
          <w:rFonts w:ascii="仿宋_GB2312" w:eastAsia="仿宋_GB2312" w:cs="仿宋_GB2312" w:hAnsi="仿宋_GB2312"/>
          <w:sz w:val="32"/>
          <w:szCs w:val="32"/>
        </w:rPr>
        <w:t>207.17</w:t>
      </w:r>
      <w:r>
        <w:rPr>
          <w:rFonts w:ascii="仿宋_GB2312" w:eastAsia="仿宋_GB2312" w:cs="仿宋_GB2312" w:hAnsi="仿宋_GB2312" w:hint="eastAsia"/>
          <w:sz w:val="32"/>
          <w:szCs w:val="32"/>
        </w:rPr>
        <w:t>万元，占</w:t>
      </w:r>
      <w:r>
        <w:rPr>
          <w:rFonts w:ascii="仿宋_GB2312" w:eastAsia="仿宋_GB2312" w:cs="仿宋_GB2312" w:hAnsi="仿宋_GB2312"/>
          <w:sz w:val="32"/>
          <w:szCs w:val="32"/>
        </w:rPr>
        <w:t>7.55%</w:t>
      </w:r>
      <w:r>
        <w:rPr>
          <w:rFonts w:ascii="仿宋_GB2312" w:eastAsia="仿宋_GB2312" w:cs="仿宋_GB2312" w:hAnsi="仿宋_GB2312" w:hint="eastAsia"/>
          <w:sz w:val="32"/>
          <w:szCs w:val="32"/>
        </w:rPr>
        <w:t>；卫生健康支出</w:t>
      </w:r>
      <w:r>
        <w:rPr>
          <w:rFonts w:ascii="仿宋_GB2312" w:eastAsia="仿宋_GB2312" w:cs="仿宋_GB2312" w:hAnsi="仿宋_GB2312"/>
          <w:sz w:val="32"/>
          <w:szCs w:val="32"/>
        </w:rPr>
        <w:t>65.76</w:t>
      </w:r>
      <w:r>
        <w:rPr>
          <w:rFonts w:ascii="仿宋_GB2312" w:eastAsia="仿宋_GB2312" w:cs="仿宋_GB2312" w:hAnsi="仿宋_GB2312" w:hint="eastAsia"/>
          <w:sz w:val="32"/>
          <w:szCs w:val="32"/>
        </w:rPr>
        <w:t>万元，占</w:t>
      </w:r>
      <w:r>
        <w:rPr>
          <w:rFonts w:ascii="仿宋_GB2312" w:eastAsia="仿宋_GB2312" w:cs="仿宋_GB2312" w:hAnsi="仿宋_GB2312"/>
          <w:sz w:val="32"/>
          <w:szCs w:val="32"/>
        </w:rPr>
        <w:t>2.4%</w:t>
      </w:r>
      <w:r>
        <w:rPr>
          <w:rFonts w:ascii="仿宋_GB2312" w:eastAsia="仿宋_GB2312" w:cs="仿宋_GB2312" w:hAnsi="仿宋_GB2312" w:hint="eastAsia"/>
          <w:sz w:val="32"/>
          <w:szCs w:val="32"/>
        </w:rPr>
        <w:t>；住房保障支出</w:t>
      </w:r>
      <w:r>
        <w:rPr>
          <w:rFonts w:ascii="仿宋_GB2312" w:eastAsia="仿宋_GB2312" w:cs="仿宋_GB2312" w:hAnsi="仿宋_GB2312"/>
          <w:sz w:val="32"/>
          <w:szCs w:val="32"/>
        </w:rPr>
        <w:t>171.33</w:t>
      </w:r>
      <w:r>
        <w:rPr>
          <w:rFonts w:ascii="仿宋_GB2312" w:eastAsia="仿宋_GB2312" w:cs="仿宋_GB2312" w:hAnsi="仿宋_GB2312" w:hint="eastAsia"/>
          <w:sz w:val="32"/>
          <w:szCs w:val="32"/>
        </w:rPr>
        <w:t>万元，占</w:t>
      </w:r>
      <w:r>
        <w:rPr>
          <w:rFonts w:ascii="仿宋_GB2312" w:eastAsia="仿宋_GB2312" w:cs="仿宋_GB2312" w:hAnsi="仿宋_GB2312"/>
          <w:sz w:val="32"/>
          <w:szCs w:val="32"/>
        </w:rPr>
        <w:t>6.25%</w:t>
      </w:r>
      <w:r>
        <w:rPr>
          <w:rFonts w:ascii="仿宋_GB2312" w:eastAsia="仿宋_GB2312" w:cs="仿宋_GB2312" w:hAnsi="仿宋_GB2312" w:hint="eastAsia"/>
          <w:sz w:val="32"/>
          <w:szCs w:val="32"/>
        </w:rPr>
        <w:t>。</w:t>
      </w:r>
    </w:p>
    <w:p>
      <w:pPr>
        <w:spacing w:line="576" w:lineRule="exact"/>
        <w:ind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（三）一般公共预算当年拨款具体使用情况</w:t>
      </w:r>
    </w:p>
    <w:p>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一般公共服务支出（类）政府办公厅（室）及相关机构事务（款）行政运行（项）</w:t>
      </w:r>
      <w:r>
        <w:rPr>
          <w:rFonts w:ascii="仿宋_GB2312" w:eastAsia="仿宋_GB2312"/>
          <w:sz w:val="32"/>
          <w:szCs w:val="32"/>
        </w:rPr>
        <w:t>2025</w:t>
      </w:r>
      <w:r>
        <w:rPr>
          <w:rFonts w:ascii="仿宋_GB2312" w:eastAsia="仿宋_GB2312" w:hint="eastAsia"/>
          <w:sz w:val="32"/>
          <w:szCs w:val="32"/>
        </w:rPr>
        <w:t>年预算数为</w:t>
      </w:r>
      <w:r>
        <w:rPr>
          <w:rFonts w:ascii="仿宋_GB2312" w:eastAsia="仿宋_GB2312"/>
          <w:sz w:val="32"/>
          <w:szCs w:val="32"/>
        </w:rPr>
        <w:t>2092.79</w:t>
      </w:r>
      <w:r>
        <w:rPr>
          <w:rFonts w:ascii="仿宋_GB2312" w:eastAsia="仿宋_GB2312" w:hint="eastAsia"/>
          <w:sz w:val="32"/>
          <w:szCs w:val="32"/>
        </w:rPr>
        <w:t>万元，主要用于：主要用于行政单位工资奖金津补贴、其他工资福利支出、办公经费、会议费、培训费、委托业务费、公务接待费、公务用车运行维护费、维修（护）费、其他商品和服务支出、设备购置、社会福利和救助、其他对个人和家庭补助。</w:t>
      </w:r>
    </w:p>
    <w:p>
      <w:pPr>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一般公共服务支出（类）政府办公厅（室）及相关机构事务（款）一般行政管理事务（项）</w:t>
      </w:r>
      <w:r>
        <w:rPr>
          <w:rFonts w:ascii="仿宋_GB2312" w:eastAsia="仿宋_GB2312"/>
          <w:sz w:val="32"/>
          <w:szCs w:val="32"/>
        </w:rPr>
        <w:t>2025</w:t>
      </w:r>
      <w:r>
        <w:rPr>
          <w:rFonts w:ascii="仿宋_GB2312" w:eastAsia="仿宋_GB2312" w:hint="eastAsia"/>
          <w:sz w:val="32"/>
          <w:szCs w:val="32"/>
        </w:rPr>
        <w:t>年预算数为</w:t>
      </w:r>
      <w:r>
        <w:rPr>
          <w:rFonts w:ascii="仿宋_GB2312" w:eastAsia="仿宋_GB2312"/>
          <w:sz w:val="32"/>
          <w:szCs w:val="32"/>
        </w:rPr>
        <w:t>206.45</w:t>
      </w:r>
      <w:r>
        <w:rPr>
          <w:rFonts w:ascii="仿宋_GB2312" w:eastAsia="仿宋_GB2312" w:hint="eastAsia"/>
          <w:sz w:val="32"/>
          <w:szCs w:val="32"/>
        </w:rPr>
        <w:t>万元，主要用于工业产业发展、向上争取项目资金等专项工作经费。</w:t>
      </w:r>
    </w:p>
    <w:p>
      <w:pPr>
        <w:spacing w:line="576"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社会保障和就业支出（类）行政事业单位养老支出（款）机关</w:t>
      </w:r>
      <w:r>
        <w:rPr>
          <w:rFonts w:ascii="仿宋_GB2312" w:eastAsia="仿宋_GB2312" w:hint="eastAsia"/>
          <w:spacing w:val="-6"/>
          <w:sz w:val="32"/>
          <w:szCs w:val="32"/>
        </w:rPr>
        <w:t>事业单位基本养老保险缴费支出（项）</w:t>
      </w:r>
      <w:r>
        <w:rPr>
          <w:rFonts w:ascii="仿宋_GB2312" w:eastAsia="仿宋_GB2312"/>
          <w:spacing w:val="-6"/>
          <w:sz w:val="32"/>
          <w:szCs w:val="32"/>
        </w:rPr>
        <w:t>2025</w:t>
      </w:r>
      <w:r>
        <w:rPr>
          <w:rFonts w:ascii="仿宋_GB2312" w:eastAsia="仿宋_GB2312" w:hint="eastAsia"/>
          <w:spacing w:val="-6"/>
          <w:sz w:val="32"/>
          <w:szCs w:val="32"/>
        </w:rPr>
        <w:t>年预算数为</w:t>
      </w:r>
      <w:r>
        <w:rPr>
          <w:rFonts w:ascii="仿宋_GB2312" w:eastAsia="仿宋_GB2312"/>
          <w:spacing w:val="-6"/>
          <w:sz w:val="32"/>
          <w:szCs w:val="32"/>
        </w:rPr>
        <w:t>202.71</w:t>
      </w:r>
      <w:r>
        <w:rPr>
          <w:rFonts w:ascii="仿宋_GB2312" w:eastAsia="仿宋_GB2312" w:hint="eastAsia"/>
          <w:spacing w:val="-6"/>
          <w:sz w:val="32"/>
          <w:szCs w:val="32"/>
        </w:rPr>
        <w:t>万元，主要用于：实施养老保险制度由单位缴纳的基本养老保险支出。</w:t>
      </w:r>
    </w:p>
    <w:p>
      <w:pPr>
        <w:spacing w:line="576"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2025</w:t>
      </w:r>
      <w:r>
        <w:rPr>
          <w:rFonts w:ascii="仿宋_GB2312" w:eastAsia="仿宋_GB2312" w:hint="eastAsia"/>
          <w:sz w:val="32"/>
          <w:szCs w:val="32"/>
        </w:rPr>
        <w:t>年预算数为</w:t>
      </w:r>
      <w:r>
        <w:rPr>
          <w:rFonts w:ascii="仿宋_GB2312" w:eastAsia="仿宋_GB2312"/>
          <w:sz w:val="32"/>
          <w:szCs w:val="32"/>
        </w:rPr>
        <w:t>4.47</w:t>
      </w:r>
      <w:r>
        <w:rPr>
          <w:rFonts w:ascii="仿宋_GB2312" w:eastAsia="仿宋_GB2312" w:hint="eastAsia"/>
          <w:sz w:val="32"/>
          <w:szCs w:val="32"/>
        </w:rPr>
        <w:t>万元，主要用于：其他社会保障和就业方面的支出。</w:t>
      </w:r>
    </w:p>
    <w:p>
      <w:pPr>
        <w:spacing w:line="576"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卫生健康支出（类）行政事业单位医疗（款）行政单位医疗（项）</w:t>
      </w:r>
      <w:r>
        <w:rPr>
          <w:rFonts w:ascii="仿宋_GB2312" w:eastAsia="仿宋_GB2312"/>
          <w:sz w:val="32"/>
          <w:szCs w:val="32"/>
        </w:rPr>
        <w:t>2025</w:t>
      </w:r>
      <w:r>
        <w:rPr>
          <w:rFonts w:ascii="仿宋_GB2312" w:eastAsia="仿宋_GB2312" w:hint="eastAsia"/>
          <w:sz w:val="32"/>
          <w:szCs w:val="32"/>
        </w:rPr>
        <w:t>年预算数为</w:t>
      </w:r>
      <w:r>
        <w:rPr>
          <w:rFonts w:ascii="仿宋_GB2312" w:eastAsia="仿宋_GB2312"/>
          <w:sz w:val="32"/>
          <w:szCs w:val="32"/>
        </w:rPr>
        <w:t>65.76</w:t>
      </w:r>
      <w:r>
        <w:rPr>
          <w:rFonts w:ascii="仿宋_GB2312" w:eastAsia="仿宋_GB2312" w:hint="eastAsia"/>
          <w:sz w:val="32"/>
          <w:szCs w:val="32"/>
        </w:rPr>
        <w:t>万元，主要用于：机关及参公管理事业单位按规定由单位缴纳的基本医疗保险支出。</w:t>
      </w:r>
    </w:p>
    <w:p>
      <w:pPr>
        <w:spacing w:line="576"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住房保障支出（类）住房改革支出（款）住房公积金（项）</w:t>
      </w:r>
      <w:r>
        <w:rPr>
          <w:rFonts w:ascii="仿宋_GB2312" w:eastAsia="仿宋_GB2312"/>
          <w:sz w:val="32"/>
          <w:szCs w:val="32"/>
        </w:rPr>
        <w:t>2025</w:t>
      </w:r>
      <w:r>
        <w:rPr>
          <w:rFonts w:ascii="仿宋_GB2312" w:eastAsia="仿宋_GB2312" w:hint="eastAsia"/>
          <w:sz w:val="32"/>
          <w:szCs w:val="32"/>
        </w:rPr>
        <w:t>年预算数为</w:t>
      </w:r>
      <w:r>
        <w:rPr>
          <w:rFonts w:ascii="仿宋_GB2312" w:eastAsia="仿宋_GB2312"/>
          <w:sz w:val="32"/>
          <w:szCs w:val="32"/>
        </w:rPr>
        <w:t>171.33</w:t>
      </w:r>
      <w:r>
        <w:rPr>
          <w:rFonts w:ascii="仿宋_GB2312" w:eastAsia="仿宋_GB2312" w:hint="eastAsia"/>
          <w:sz w:val="32"/>
          <w:szCs w:val="32"/>
        </w:rPr>
        <w:t>万元，主要用于：部门按规定为职工缴纳的住房公积金支出。</w:t>
      </w:r>
    </w:p>
    <w:p>
      <w:pPr>
        <w:spacing w:line="576" w:lineRule="exact"/>
        <w:ind w:firstLineChars="200" w:firstLine="640"/>
        <w:rPr>
          <w:rFonts w:ascii="黑体" w:eastAsia="黑体" w:cs="黑体" w:hAnsi="黑体"/>
          <w:sz w:val="32"/>
          <w:szCs w:val="32"/>
        </w:rPr>
      </w:pPr>
      <w:r>
        <w:rPr>
          <w:rFonts w:ascii="黑体" w:eastAsia="黑体" w:cs="黑体" w:hAnsi="黑体" w:hint="eastAsia"/>
          <w:sz w:val="32"/>
          <w:szCs w:val="32"/>
        </w:rPr>
        <w:t>四、一般公共预算基本支出情况说明</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市经济和信息化局</w:t>
      </w:r>
      <w:r>
        <w:rPr>
          <w:rFonts w:ascii="仿宋_GB2312" w:eastAsia="仿宋_GB2312" w:cs="仿宋_GB2312" w:hAnsi="仿宋_GB2312"/>
          <w:sz w:val="32"/>
          <w:szCs w:val="32"/>
        </w:rPr>
        <w:t>2025</w:t>
      </w:r>
      <w:r>
        <w:rPr>
          <w:rFonts w:ascii="仿宋_GB2312" w:eastAsia="仿宋_GB2312" w:cs="仿宋_GB2312" w:hAnsi="仿宋_GB2312" w:hint="eastAsia"/>
          <w:sz w:val="32"/>
          <w:szCs w:val="32"/>
        </w:rPr>
        <w:t>年一般公共预算基本支出</w:t>
      </w:r>
      <w:r>
        <w:rPr>
          <w:rFonts w:ascii="仿宋_GB2312" w:eastAsia="仿宋_GB2312" w:cs="仿宋_GB2312" w:hAnsi="仿宋_GB2312"/>
          <w:sz w:val="32"/>
          <w:szCs w:val="32"/>
        </w:rPr>
        <w:t>2537.05</w:t>
      </w:r>
      <w:r>
        <w:rPr>
          <w:rFonts w:ascii="仿宋_GB2312" w:eastAsia="仿宋_GB2312" w:cs="仿宋_GB2312" w:hAnsi="仿宋_GB2312" w:hint="eastAsia"/>
          <w:sz w:val="32"/>
          <w:szCs w:val="32"/>
        </w:rPr>
        <w:t>万元，其中：</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人员经费</w:t>
      </w:r>
      <w:r>
        <w:rPr>
          <w:rFonts w:ascii="仿宋_GB2312" w:eastAsia="仿宋_GB2312" w:cs="仿宋_GB2312" w:hAnsi="仿宋_GB2312"/>
          <w:sz w:val="32"/>
          <w:szCs w:val="32"/>
        </w:rPr>
        <w:t>2167.27</w:t>
      </w:r>
      <w:r>
        <w:rPr>
          <w:rFonts w:ascii="仿宋_GB2312" w:eastAsia="仿宋_GB2312" w:cs="仿宋_GB2312" w:hAnsi="仿宋_GB2312" w:hint="eastAsia"/>
          <w:sz w:val="32"/>
          <w:szCs w:val="32"/>
        </w:rPr>
        <w:t>万元，主要包括：基本工资、津贴补贴、奖金、</w:t>
      </w:r>
      <w:r>
        <w:rPr>
          <w:rFonts w:ascii="仿宋_GB2312" w:eastAsia="仿宋_GB2312" w:hint="eastAsia"/>
          <w:sz w:val="32"/>
          <w:szCs w:val="32"/>
        </w:rPr>
        <w:t>绩效工资、机关事业单位基本养老保险缴费、职工基本医疗保险缴费、其他社会保障缴费、住房公积金、生活补助等支出。</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公用经费</w:t>
      </w:r>
      <w:r>
        <w:rPr>
          <w:rFonts w:ascii="仿宋_GB2312" w:eastAsia="仿宋_GB2312" w:cs="仿宋_GB2312" w:hAnsi="仿宋_GB2312"/>
          <w:sz w:val="32"/>
          <w:szCs w:val="32"/>
        </w:rPr>
        <w:t>369.78</w:t>
      </w:r>
      <w:r>
        <w:rPr>
          <w:rFonts w:ascii="仿宋_GB2312" w:eastAsia="仿宋_GB2312" w:cs="仿宋_GB2312" w:hAnsi="仿宋_GB2312" w:hint="eastAsia"/>
          <w:sz w:val="32"/>
          <w:szCs w:val="32"/>
        </w:rPr>
        <w:t>万元，主要包括：办公费、印刷费、水费、电费、邮电费、物业管理费、差旅费、维修（护）费、会议费、培训费、公务接待费、劳务费、工会经费、福利费、公务用车运行维护费、公务用车运行维护费</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其他交通费用、其他商品和服务支出、办公设备购置等支出。</w:t>
      </w:r>
    </w:p>
    <w:p>
      <w:pPr>
        <w:spacing w:line="576" w:lineRule="exact"/>
        <w:ind w:firstLineChars="200" w:firstLine="640"/>
        <w:rPr>
          <w:rFonts w:ascii="黑体" w:eastAsia="黑体" w:cs="黑体" w:hAnsi="黑体"/>
          <w:sz w:val="32"/>
          <w:szCs w:val="32"/>
        </w:rPr>
      </w:pPr>
      <w:r>
        <w:rPr>
          <w:rFonts w:ascii="黑体" w:eastAsia="黑体" w:cs="黑体" w:hAnsi="黑体" w:hint="eastAsia"/>
          <w:sz w:val="32"/>
          <w:szCs w:val="32"/>
        </w:rPr>
        <w:t>五、“三公”经费财政拨款预算安排情况说明</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市经济和信息化局</w:t>
      </w:r>
      <w:r>
        <w:rPr>
          <w:rFonts w:ascii="仿宋_GB2312" w:eastAsia="仿宋_GB2312" w:cs="仿宋_GB2312" w:hAnsi="仿宋_GB2312"/>
          <w:sz w:val="32"/>
          <w:szCs w:val="32"/>
        </w:rPr>
        <w:t>2025</w:t>
      </w:r>
      <w:r>
        <w:rPr>
          <w:rFonts w:ascii="仿宋_GB2312" w:eastAsia="仿宋_GB2312" w:cs="仿宋_GB2312" w:hAnsi="仿宋_GB2312" w:hint="eastAsia"/>
          <w:sz w:val="32"/>
          <w:szCs w:val="32"/>
        </w:rPr>
        <w:t>年“三公”经费财政拨款预算数</w:t>
      </w:r>
      <w:r>
        <w:rPr>
          <w:rFonts w:ascii="仿宋_GB2312" w:eastAsia="仿宋_GB2312" w:cs="仿宋_GB2312" w:hAnsi="仿宋_GB2312"/>
          <w:sz w:val="32"/>
          <w:szCs w:val="32"/>
        </w:rPr>
        <w:t>28.94</w:t>
      </w:r>
      <w:r>
        <w:rPr>
          <w:rFonts w:ascii="仿宋_GB2312" w:eastAsia="仿宋_GB2312" w:cs="仿宋_GB2312" w:hAnsi="仿宋_GB2312" w:hint="eastAsia"/>
          <w:sz w:val="32"/>
          <w:szCs w:val="32"/>
        </w:rPr>
        <w:t>万元，其中：公务接待费</w:t>
      </w:r>
      <w:r>
        <w:rPr>
          <w:rFonts w:ascii="仿宋_GB2312" w:eastAsia="仿宋_GB2312" w:cs="仿宋_GB2312" w:hAnsi="仿宋_GB2312"/>
          <w:sz w:val="32"/>
          <w:szCs w:val="32"/>
        </w:rPr>
        <w:t>6.44</w:t>
      </w:r>
      <w:r>
        <w:rPr>
          <w:rFonts w:ascii="仿宋_GB2312" w:eastAsia="仿宋_GB2312" w:cs="仿宋_GB2312" w:hAnsi="仿宋_GB2312" w:hint="eastAsia"/>
          <w:sz w:val="32"/>
          <w:szCs w:val="32"/>
        </w:rPr>
        <w:t>万元，公务用车购置及运行维护费</w:t>
      </w:r>
      <w:r>
        <w:rPr>
          <w:rFonts w:ascii="仿宋_GB2312" w:eastAsia="仿宋_GB2312" w:cs="仿宋_GB2312" w:hAnsi="仿宋_GB2312"/>
          <w:sz w:val="32"/>
          <w:szCs w:val="32"/>
        </w:rPr>
        <w:t>22.50</w:t>
      </w:r>
      <w:r>
        <w:rPr>
          <w:rFonts w:ascii="仿宋_GB2312" w:eastAsia="仿宋_GB2312" w:cs="仿宋_GB2312" w:hAnsi="仿宋_GB2312" w:hint="eastAsia"/>
          <w:sz w:val="32"/>
          <w:szCs w:val="32"/>
        </w:rPr>
        <w:t>万元，因公出国（境）经费</w:t>
      </w:r>
      <w:r>
        <w:rPr>
          <w:rFonts w:ascii="仿宋_GB2312" w:eastAsia="仿宋_GB2312" w:cs="仿宋_GB2312" w:hAnsi="仿宋_GB2312"/>
          <w:sz w:val="32"/>
          <w:szCs w:val="32"/>
        </w:rPr>
        <w:t>0</w:t>
      </w:r>
      <w:r>
        <w:rPr>
          <w:rFonts w:ascii="仿宋_GB2312" w:eastAsia="仿宋_GB2312" w:cs="仿宋_GB2312" w:hAnsi="仿宋_GB2312" w:hint="eastAsia"/>
          <w:sz w:val="32"/>
          <w:szCs w:val="32"/>
        </w:rPr>
        <w:t>万元。</w:t>
      </w:r>
    </w:p>
    <w:p>
      <w:pPr>
        <w:spacing w:line="576" w:lineRule="exact"/>
        <w:ind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（一）公务接待费</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公务接待费与</w:t>
      </w:r>
      <w:r>
        <w:rPr>
          <w:rFonts w:ascii="仿宋_GB2312" w:eastAsia="仿宋_GB2312" w:cs="仿宋_GB2312" w:hAnsi="仿宋_GB2312"/>
          <w:sz w:val="32"/>
          <w:szCs w:val="32"/>
        </w:rPr>
        <w:t>2024</w:t>
      </w:r>
      <w:r>
        <w:rPr>
          <w:rFonts w:ascii="仿宋_GB2312" w:eastAsia="仿宋_GB2312" w:cs="仿宋_GB2312" w:hAnsi="仿宋_GB2312" w:hint="eastAsia"/>
          <w:sz w:val="32"/>
          <w:szCs w:val="32"/>
        </w:rPr>
        <w:t>年预算相比增长</w:t>
      </w:r>
      <w:r>
        <w:rPr>
          <w:rFonts w:ascii="仿宋_GB2312" w:eastAsia="仿宋_GB2312" w:cs="仿宋_GB2312" w:hAnsi="仿宋_GB2312"/>
          <w:sz w:val="32"/>
          <w:szCs w:val="32"/>
        </w:rPr>
        <w:t>3</w:t>
      </w:r>
      <w:r>
        <w:rPr>
          <w:rFonts w:ascii="仿宋_GB2312" w:eastAsia="仿宋_GB2312" w:cs="仿宋_GB2312" w:hAnsi="仿宋_GB2312" w:hint="eastAsia"/>
          <w:sz w:val="32"/>
          <w:szCs w:val="32"/>
        </w:rPr>
        <w:t>万元，主要原因是</w:t>
      </w:r>
      <w:r>
        <w:rPr>
          <w:rFonts w:ascii="仿宋_GB2312" w:eastAsia="仿宋_GB2312" w:hint="eastAsia"/>
          <w:sz w:val="32"/>
          <w:szCs w:val="32"/>
        </w:rPr>
        <w:t>全市组建了</w:t>
      </w:r>
      <w:r>
        <w:rPr>
          <w:rFonts w:ascii="仿宋_GB2312" w:eastAsia="仿宋_GB2312"/>
          <w:sz w:val="32"/>
          <w:szCs w:val="32"/>
        </w:rPr>
        <w:t>8</w:t>
      </w:r>
      <w:r>
        <w:rPr>
          <w:rFonts w:ascii="仿宋_GB2312" w:eastAsia="仿宋_GB2312" w:hint="eastAsia"/>
          <w:sz w:val="32"/>
          <w:szCs w:val="32"/>
        </w:rPr>
        <w:t>个工业产业专班，其中铝基、硅基新材料、食品饮料、建材家具</w:t>
      </w:r>
      <w:r>
        <w:rPr>
          <w:rFonts w:ascii="仿宋_GB2312" w:eastAsia="仿宋_GB2312"/>
          <w:sz w:val="32"/>
          <w:szCs w:val="32"/>
        </w:rPr>
        <w:t>4</w:t>
      </w:r>
      <w:r>
        <w:rPr>
          <w:rFonts w:ascii="仿宋_GB2312" w:eastAsia="仿宋_GB2312" w:hint="eastAsia"/>
          <w:sz w:val="32"/>
          <w:szCs w:val="32"/>
        </w:rPr>
        <w:t>个任务较重的产业专班办公室设在我局，招商活动、接待频次、外出考察推介展示展销活动大量增加，故公务接待费增长。</w:t>
      </w:r>
    </w:p>
    <w:p>
      <w:pPr>
        <w:spacing w:line="576" w:lineRule="exact"/>
        <w:ind w:firstLineChars="200" w:firstLine="640"/>
        <w:rPr>
          <w:rFonts w:ascii="仿宋_GB2312" w:eastAsia="仿宋_GB2312" w:cs="仿宋_GB2312" w:hAnsi="仿宋_GB2312"/>
          <w:b/>
          <w:bCs/>
          <w:sz w:val="32"/>
          <w:szCs w:val="32"/>
        </w:rPr>
      </w:pPr>
      <w:r>
        <w:rPr>
          <w:rFonts w:ascii="仿宋_GB2312" w:eastAsia="仿宋_GB2312" w:cs="仿宋_GB2312" w:hAnsi="仿宋_GB2312"/>
          <w:sz w:val="32"/>
          <w:szCs w:val="32"/>
        </w:rPr>
        <w:t>2025</w:t>
      </w:r>
      <w:r>
        <w:rPr>
          <w:rFonts w:ascii="仿宋_GB2312" w:eastAsia="仿宋_GB2312" w:cs="仿宋_GB2312" w:hAnsi="仿宋_GB2312" w:hint="eastAsia"/>
          <w:sz w:val="32"/>
          <w:szCs w:val="32"/>
        </w:rPr>
        <w:t>年公务接待费计划用于执行接待考察调研、检查指导等公务活动开支的交通费、住宿费、用餐费等。</w:t>
      </w:r>
    </w:p>
    <w:p>
      <w:pPr>
        <w:numPr>
          <w:ilvl w:val="0"/>
          <w:numId w:val="5"/>
        </w:numPr>
        <w:spacing w:line="576" w:lineRule="exact"/>
        <w:ind w:left="0"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公务用车购置及运行维护费</w:t>
      </w:r>
    </w:p>
    <w:p>
      <w:pPr>
        <w:spacing w:line="576" w:lineRule="exact"/>
        <w:ind w:firstLineChars="200" w:firstLine="640"/>
        <w:rPr>
          <w:rFonts w:ascii="仿宋_GB2312" w:eastAsia="仿宋_GB2312" w:cs="仿宋_GB2312" w:hAnsi="仿宋_GB2312"/>
          <w:b/>
          <w:bCs/>
          <w:sz w:val="32"/>
          <w:szCs w:val="32"/>
        </w:rPr>
      </w:pPr>
      <w:r>
        <w:rPr>
          <w:rFonts w:ascii="仿宋_GB2312" w:eastAsia="仿宋_GB2312" w:cs="仿宋_GB2312" w:hAnsi="仿宋_GB2312" w:hint="eastAsia"/>
          <w:sz w:val="32"/>
          <w:szCs w:val="32"/>
        </w:rPr>
        <w:t>公务用车购置及运行维护费与</w:t>
      </w:r>
      <w:r>
        <w:rPr>
          <w:rFonts w:ascii="仿宋_GB2312" w:eastAsia="仿宋_GB2312" w:cs="仿宋_GB2312" w:hAnsi="仿宋_GB2312"/>
          <w:sz w:val="32"/>
          <w:szCs w:val="32"/>
        </w:rPr>
        <w:t>2024</w:t>
      </w:r>
      <w:r>
        <w:rPr>
          <w:rFonts w:ascii="仿宋_GB2312" w:eastAsia="仿宋_GB2312" w:cs="仿宋_GB2312" w:hAnsi="仿宋_GB2312" w:hint="eastAsia"/>
          <w:sz w:val="32"/>
          <w:szCs w:val="32"/>
        </w:rPr>
        <w:t>年预算相比下降</w:t>
      </w:r>
      <w:r>
        <w:rPr>
          <w:rFonts w:ascii="仿宋_GB2312" w:eastAsia="仿宋_GB2312" w:cs="仿宋_GB2312" w:hAnsi="仿宋_GB2312"/>
          <w:sz w:val="32"/>
          <w:szCs w:val="32"/>
        </w:rPr>
        <w:t>6.95</w:t>
      </w:r>
      <w:r>
        <w:rPr>
          <w:rFonts w:ascii="仿宋_GB2312" w:eastAsia="仿宋_GB2312" w:cs="仿宋_GB2312" w:hAnsi="仿宋_GB2312" w:hint="eastAsia"/>
          <w:sz w:val="32"/>
          <w:szCs w:val="32"/>
        </w:rPr>
        <w:t>万元，主要原因是厉行节约，减少公务出行频次。</w:t>
      </w:r>
    </w:p>
    <w:p>
      <w:pPr>
        <w:spacing w:line="576" w:lineRule="exact"/>
        <w:ind w:firstLineChars="200" w:firstLine="640"/>
        <w:rPr>
          <w:rFonts w:ascii="仿宋_GB2312" w:eastAsia="仿宋_GB2312" w:cs="仿宋_GB2312" w:hAnsi="仿宋_GB2312"/>
          <w:b/>
          <w:bCs/>
          <w:sz w:val="32"/>
          <w:szCs w:val="32"/>
        </w:rPr>
      </w:pPr>
      <w:r>
        <w:rPr>
          <w:rFonts w:ascii="仿宋_GB2312" w:eastAsia="仿宋_GB2312" w:cs="仿宋_GB2312" w:hAnsi="仿宋_GB2312" w:hint="eastAsia"/>
          <w:sz w:val="32"/>
          <w:szCs w:val="32"/>
        </w:rPr>
        <w:t>单位现有公务用车</w:t>
      </w:r>
      <w:r>
        <w:rPr>
          <w:rFonts w:ascii="仿宋_GB2312" w:eastAsia="仿宋_GB2312" w:cs="仿宋_GB2312" w:hAnsi="仿宋_GB2312"/>
          <w:sz w:val="32"/>
          <w:szCs w:val="32"/>
        </w:rPr>
        <w:t>4</w:t>
      </w:r>
      <w:r>
        <w:rPr>
          <w:rFonts w:ascii="仿宋_GB2312" w:eastAsia="仿宋_GB2312" w:cs="仿宋_GB2312" w:hAnsi="仿宋_GB2312" w:hint="eastAsia"/>
          <w:sz w:val="32"/>
          <w:szCs w:val="32"/>
        </w:rPr>
        <w:t>辆，其中：越野车</w:t>
      </w:r>
      <w:r>
        <w:rPr>
          <w:rFonts w:ascii="仿宋_GB2312" w:eastAsia="仿宋_GB2312" w:cs="仿宋_GB2312" w:hAnsi="仿宋_GB2312"/>
          <w:sz w:val="32"/>
          <w:szCs w:val="32"/>
        </w:rPr>
        <w:t>4</w:t>
      </w:r>
      <w:r>
        <w:rPr>
          <w:rFonts w:ascii="仿宋_GB2312" w:eastAsia="仿宋_GB2312" w:cs="仿宋_GB2312" w:hAnsi="仿宋_GB2312" w:hint="eastAsia"/>
          <w:sz w:val="32"/>
          <w:szCs w:val="32"/>
        </w:rPr>
        <w:t>辆。</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sz w:val="32"/>
          <w:szCs w:val="32"/>
        </w:rPr>
        <w:t>2025</w:t>
      </w:r>
      <w:r>
        <w:rPr>
          <w:rFonts w:ascii="仿宋_GB2312" w:eastAsia="仿宋_GB2312" w:cs="仿宋_GB2312" w:hAnsi="仿宋_GB2312" w:hint="eastAsia"/>
          <w:sz w:val="32"/>
          <w:szCs w:val="32"/>
        </w:rPr>
        <w:t>年未安排公务用车购置费。</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sz w:val="32"/>
          <w:szCs w:val="32"/>
        </w:rPr>
        <w:t>2025</w:t>
      </w:r>
      <w:r>
        <w:rPr>
          <w:rFonts w:ascii="仿宋_GB2312" w:eastAsia="仿宋_GB2312" w:cs="仿宋_GB2312" w:hAnsi="仿宋_GB2312" w:hint="eastAsia"/>
          <w:sz w:val="32"/>
          <w:szCs w:val="32"/>
        </w:rPr>
        <w:t>年安排公务用车运行维护费</w:t>
      </w:r>
      <w:r>
        <w:rPr>
          <w:rFonts w:ascii="仿宋_GB2312" w:eastAsia="仿宋_GB2312" w:cs="仿宋_GB2312" w:hAnsi="仿宋_GB2312"/>
          <w:sz w:val="32"/>
          <w:szCs w:val="32"/>
        </w:rPr>
        <w:t>22.5</w:t>
      </w:r>
      <w:r>
        <w:rPr>
          <w:rFonts w:ascii="仿宋_GB2312" w:eastAsia="仿宋_GB2312" w:cs="仿宋_GB2312" w:hAnsi="仿宋_GB2312" w:hint="eastAsia"/>
          <w:sz w:val="32"/>
          <w:szCs w:val="32"/>
        </w:rPr>
        <w:t>万元，用于</w:t>
      </w:r>
      <w:r>
        <w:rPr>
          <w:rFonts w:ascii="仿宋_GB2312" w:eastAsia="仿宋_GB2312" w:cs="仿宋_GB2312" w:hAnsi="仿宋_GB2312"/>
          <w:sz w:val="32"/>
          <w:szCs w:val="32"/>
        </w:rPr>
        <w:t>4</w:t>
      </w:r>
      <w:r>
        <w:rPr>
          <w:rFonts w:ascii="仿宋_GB2312" w:eastAsia="仿宋_GB2312" w:cs="仿宋_GB2312" w:hAnsi="仿宋_GB2312" w:hint="eastAsia"/>
          <w:sz w:val="32"/>
          <w:szCs w:val="32"/>
        </w:rPr>
        <w:t>辆公务用车燃油、过路（桥）、维修、保险等方面支出，主要保障</w:t>
      </w:r>
      <w:r>
        <w:rPr>
          <w:rFonts w:ascii="仿宋_GB2312" w:eastAsia="仿宋_GB2312" w:hint="eastAsia"/>
          <w:sz w:val="32"/>
          <w:szCs w:val="32"/>
        </w:rPr>
        <w:t>市经济和信息化局日常工作开展。</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w:t>
      </w:r>
      <w:r>
        <w:rPr>
          <w:rFonts w:ascii="楷体_GB2312" w:eastAsia="楷体_GB2312" w:cs="楷体_GB2312" w:hAnsi="楷体_GB2312" w:hint="eastAsia"/>
          <w:sz w:val="32"/>
          <w:szCs w:val="32"/>
        </w:rPr>
        <w:t>三）因公出国（境）经费</w:t>
      </w:r>
    </w:p>
    <w:p>
      <w:pPr>
        <w:spacing w:line="576" w:lineRule="exact"/>
        <w:ind w:firstLineChars="200" w:firstLine="640"/>
        <w:rPr>
          <w:rFonts w:ascii="仿宋_GB2312" w:eastAsia="仿宋_GB2312" w:hint="eastAsia"/>
          <w:sz w:val="32"/>
          <w:szCs w:val="32"/>
        </w:rPr>
      </w:pPr>
      <w:r>
        <w:rPr>
          <w:rFonts w:ascii="仿宋_GB2312" w:eastAsia="仿宋_GB2312" w:cs="仿宋_GB2312" w:hAnsi="仿宋_GB2312" w:hint="eastAsia"/>
          <w:sz w:val="32"/>
          <w:szCs w:val="32"/>
        </w:rPr>
        <w:t>因公出国（境）经费与</w:t>
      </w:r>
      <w:r>
        <w:rPr>
          <w:rFonts w:ascii="仿宋_GB2312" w:eastAsia="仿宋_GB2312" w:cs="仿宋_GB2312" w:hAnsi="仿宋_GB2312"/>
          <w:sz w:val="32"/>
          <w:szCs w:val="32"/>
        </w:rPr>
        <w:t>2024</w:t>
      </w:r>
      <w:r>
        <w:rPr>
          <w:rFonts w:ascii="仿宋_GB2312" w:eastAsia="仿宋_GB2312" w:cs="仿宋_GB2312" w:hAnsi="仿宋_GB2312" w:hint="eastAsia"/>
          <w:sz w:val="32"/>
          <w:szCs w:val="32"/>
        </w:rPr>
        <w:t>年预算相比持平</w:t>
      </w:r>
      <w:r>
        <w:rPr>
          <w:rFonts w:ascii="仿宋_GB2312" w:eastAsia="仿宋_GB2312" w:cs="仿宋_GB2312" w:hAnsi="仿宋_GB2312" w:hint="eastAsia"/>
          <w:sz w:val="32"/>
          <w:szCs w:val="32"/>
          <w:lang w:eastAsia="zh-CN"/>
        </w:rPr>
        <w:t>。</w:t>
      </w:r>
      <w:r>
        <w:rPr>
          <w:rFonts w:ascii="仿宋_GB2312" w:eastAsia="仿宋_GB2312" w:hint="eastAsia"/>
          <w:sz w:val="32"/>
          <w:szCs w:val="32"/>
        </w:rPr>
        <w:t>2025年部门预算未编列因公出国（境）经费，未安排出国（出境）任务和计划。</w:t>
      </w:r>
    </w:p>
    <w:p>
      <w:pPr>
        <w:spacing w:line="576" w:lineRule="exact"/>
        <w:ind w:firstLineChars="200" w:firstLine="640"/>
        <w:rPr>
          <w:rFonts w:ascii="黑体" w:eastAsia="黑体" w:cs="黑体" w:hAnsi="黑体"/>
          <w:sz w:val="32"/>
          <w:szCs w:val="32"/>
        </w:rPr>
      </w:pPr>
      <w:r>
        <w:rPr>
          <w:rFonts w:ascii="黑体" w:eastAsia="黑体" w:cs="黑体" w:hAnsi="黑体" w:hint="eastAsia"/>
          <w:sz w:val="32"/>
          <w:szCs w:val="32"/>
        </w:rPr>
        <w:t>六、政府性基金预算支出情况说明</w:t>
      </w:r>
    </w:p>
    <w:p>
      <w:pPr>
        <w:spacing w:line="576" w:lineRule="exact"/>
        <w:ind w:firstLineChars="200" w:firstLine="608"/>
        <w:rPr>
          <w:rFonts w:ascii="仿宋_GB2312" w:eastAsia="仿宋_GB2312"/>
          <w:spacing w:val="-8"/>
          <w:sz w:val="32"/>
          <w:szCs w:val="32"/>
        </w:rPr>
      </w:pPr>
      <w:r>
        <w:rPr>
          <w:rFonts w:ascii="仿宋_GB2312" w:eastAsia="仿宋_GB2312" w:hint="eastAsia"/>
          <w:spacing w:val="-8"/>
          <w:sz w:val="32"/>
          <w:szCs w:val="32"/>
        </w:rPr>
        <w:t>市经济和信息化局</w:t>
      </w:r>
      <w:r>
        <w:rPr>
          <w:rFonts w:ascii="仿宋_GB2312" w:eastAsia="仿宋_GB2312"/>
          <w:spacing w:val="-8"/>
          <w:sz w:val="32"/>
          <w:szCs w:val="32"/>
        </w:rPr>
        <w:t>2025</w:t>
      </w:r>
      <w:r>
        <w:rPr>
          <w:rFonts w:ascii="仿宋_GB2312" w:eastAsia="仿宋_GB2312" w:hint="eastAsia"/>
          <w:spacing w:val="-8"/>
          <w:sz w:val="32"/>
          <w:szCs w:val="32"/>
        </w:rPr>
        <w:t>年无政府性基金预算拨款安排的支出。</w:t>
      </w:r>
    </w:p>
    <w:p>
      <w:pPr>
        <w:numPr>
          <w:ilvl w:val="0"/>
          <w:numId w:val="6"/>
        </w:numPr>
        <w:spacing w:line="576" w:lineRule="exact"/>
        <w:ind w:left="0" w:firstLineChars="200" w:firstLine="640"/>
        <w:rPr>
          <w:rFonts w:ascii="黑体" w:eastAsia="黑体" w:cs="黑体" w:hAnsi="黑体"/>
          <w:sz w:val="32"/>
          <w:szCs w:val="32"/>
        </w:rPr>
      </w:pPr>
      <w:r>
        <w:rPr>
          <w:rFonts w:ascii="黑体" w:eastAsia="黑体" w:cs="黑体" w:hAnsi="黑体" w:hint="eastAsia"/>
          <w:sz w:val="32"/>
          <w:szCs w:val="32"/>
        </w:rPr>
        <w:t>国有资本经营预算支出情况说明</w:t>
      </w:r>
    </w:p>
    <w:p>
      <w:pPr>
        <w:spacing w:line="576" w:lineRule="exact"/>
        <w:ind w:firstLineChars="200" w:firstLine="640"/>
        <w:rPr>
          <w:rFonts w:ascii="黑体" w:eastAsia="黑体" w:cs="黑体" w:hAnsi="黑体"/>
          <w:sz w:val="32"/>
          <w:szCs w:val="32"/>
        </w:rPr>
      </w:pPr>
      <w:r>
        <w:rPr>
          <w:rFonts w:ascii="仿宋_GB2312" w:eastAsia="仿宋_GB2312" w:hint="eastAsia"/>
          <w:sz w:val="32"/>
          <w:szCs w:val="32"/>
        </w:rPr>
        <w:t>市经济和信息化局</w:t>
      </w:r>
      <w:r>
        <w:rPr>
          <w:rFonts w:ascii="仿宋_GB2312" w:eastAsia="仿宋_GB2312"/>
          <w:sz w:val="32"/>
          <w:szCs w:val="32"/>
        </w:rPr>
        <w:t>2025</w:t>
      </w:r>
      <w:r>
        <w:rPr>
          <w:rFonts w:ascii="仿宋_GB2312" w:eastAsia="仿宋_GB2312" w:hint="eastAsia"/>
          <w:sz w:val="32"/>
          <w:szCs w:val="32"/>
        </w:rPr>
        <w:t>年无国有资本经营预算拨款安排的支出。</w:t>
      </w:r>
    </w:p>
    <w:p>
      <w:pPr>
        <w:spacing w:line="576" w:lineRule="exact"/>
        <w:ind w:firstLineChars="200" w:firstLine="640"/>
        <w:rPr>
          <w:rFonts w:ascii="黑体" w:eastAsia="黑体" w:cs="黑体" w:hAnsi="黑体"/>
          <w:sz w:val="32"/>
          <w:szCs w:val="32"/>
        </w:rPr>
      </w:pPr>
      <w:r>
        <w:rPr>
          <w:rFonts w:ascii="黑体" w:eastAsia="黑体" w:cs="黑体" w:hAnsi="黑体" w:hint="eastAsia"/>
          <w:sz w:val="32"/>
          <w:szCs w:val="32"/>
        </w:rPr>
        <w:t>八、其他重要事项的情况说明</w:t>
      </w:r>
    </w:p>
    <w:p>
      <w:pPr>
        <w:spacing w:line="576" w:lineRule="exact"/>
        <w:ind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（一）机关运行经费</w:t>
      </w:r>
    </w:p>
    <w:p>
      <w:pPr>
        <w:spacing w:line="576" w:lineRule="exact"/>
        <w:ind w:firstLineChars="200" w:firstLine="640"/>
        <w:rPr>
          <w:rFonts w:ascii="仿宋_GB2312" w:eastAsia="仿宋_GB2312" w:cs="仿宋_GB2312" w:hAnsi="仿宋_GB2312"/>
          <w:b/>
          <w:bCs/>
          <w:sz w:val="32"/>
          <w:szCs w:val="32"/>
        </w:rPr>
      </w:pPr>
      <w:r>
        <w:rPr>
          <w:rFonts w:ascii="仿宋_GB2312" w:eastAsia="仿宋_GB2312" w:cs="仿宋_GB2312" w:hAnsi="仿宋_GB2312"/>
          <w:sz w:val="32"/>
          <w:szCs w:val="32"/>
        </w:rPr>
        <w:t>2025</w:t>
      </w:r>
      <w:r>
        <w:rPr>
          <w:rFonts w:ascii="仿宋_GB2312" w:eastAsia="仿宋_GB2312" w:cs="仿宋_GB2312" w:hAnsi="仿宋_GB2312" w:hint="eastAsia"/>
          <w:sz w:val="32"/>
          <w:szCs w:val="32"/>
        </w:rPr>
        <w:t>年，</w:t>
      </w:r>
      <w:r>
        <w:rPr>
          <w:rFonts w:ascii="仿宋_GB2312" w:eastAsia="仿宋_GB2312" w:hint="eastAsia"/>
          <w:sz w:val="32"/>
          <w:szCs w:val="32"/>
        </w:rPr>
        <w:t>市经济和信息化局机关运行经费财政拨款预算为</w:t>
      </w:r>
      <w:r>
        <w:rPr>
          <w:rFonts w:ascii="仿宋_GB2312" w:eastAsia="仿宋_GB2312"/>
          <w:sz w:val="32"/>
          <w:szCs w:val="32"/>
        </w:rPr>
        <w:t>369.78</w:t>
      </w:r>
      <w:r>
        <w:rPr>
          <w:rFonts w:ascii="仿宋_GB2312" w:eastAsia="仿宋_GB2312" w:hint="eastAsia"/>
          <w:sz w:val="32"/>
          <w:szCs w:val="32"/>
        </w:rPr>
        <w:t>万元，比</w:t>
      </w:r>
      <w:r>
        <w:rPr>
          <w:rFonts w:ascii="仿宋_GB2312" w:eastAsia="仿宋_GB2312"/>
          <w:sz w:val="32"/>
          <w:szCs w:val="32"/>
        </w:rPr>
        <w:t>2024</w:t>
      </w:r>
      <w:r>
        <w:rPr>
          <w:rFonts w:ascii="仿宋_GB2312" w:eastAsia="仿宋_GB2312" w:hint="eastAsia"/>
          <w:sz w:val="32"/>
          <w:szCs w:val="32"/>
        </w:rPr>
        <w:t>年预算增加</w:t>
      </w:r>
      <w:r>
        <w:rPr>
          <w:rFonts w:ascii="仿宋_GB2312" w:eastAsia="仿宋_GB2312"/>
          <w:sz w:val="32"/>
          <w:szCs w:val="32"/>
        </w:rPr>
        <w:t>22.89</w:t>
      </w:r>
      <w:r>
        <w:rPr>
          <w:rFonts w:ascii="仿宋_GB2312" w:eastAsia="仿宋_GB2312" w:hint="eastAsia"/>
          <w:sz w:val="32"/>
          <w:szCs w:val="32"/>
        </w:rPr>
        <w:t>万元，增长</w:t>
      </w:r>
      <w:r>
        <w:rPr>
          <w:rFonts w:ascii="仿宋_GB2312" w:eastAsia="仿宋_GB2312"/>
          <w:sz w:val="32"/>
          <w:szCs w:val="32"/>
        </w:rPr>
        <w:t>6.59%</w:t>
      </w:r>
      <w:r>
        <w:rPr>
          <w:rFonts w:ascii="仿宋_GB2312" w:eastAsia="仿宋_GB2312" w:hint="eastAsia"/>
          <w:sz w:val="32"/>
          <w:szCs w:val="32"/>
        </w:rPr>
        <w:t>。主要原因为其他商品和服务支出增加。</w:t>
      </w:r>
    </w:p>
    <w:p>
      <w:pPr>
        <w:spacing w:line="576" w:lineRule="exact"/>
        <w:ind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（二）政府采购情况</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sz w:val="32"/>
          <w:szCs w:val="32"/>
        </w:rPr>
        <w:t>2025</w:t>
      </w:r>
      <w:r>
        <w:rPr>
          <w:rFonts w:ascii="仿宋_GB2312" w:eastAsia="仿宋_GB2312" w:cs="仿宋_GB2312" w:hAnsi="仿宋_GB2312" w:hint="eastAsia"/>
          <w:sz w:val="32"/>
          <w:szCs w:val="32"/>
        </w:rPr>
        <w:t>年，市经济和信息化局安排政府采购预算</w:t>
      </w:r>
      <w:r>
        <w:rPr>
          <w:rFonts w:ascii="仿宋_GB2312" w:eastAsia="仿宋_GB2312" w:cs="仿宋_GB2312" w:hAnsi="仿宋_GB2312"/>
          <w:sz w:val="32"/>
          <w:szCs w:val="32"/>
        </w:rPr>
        <w:t>23.48</w:t>
      </w:r>
      <w:r>
        <w:rPr>
          <w:rFonts w:ascii="仿宋_GB2312" w:eastAsia="仿宋_GB2312" w:cs="仿宋_GB2312" w:hAnsi="仿宋_GB2312" w:hint="eastAsia"/>
          <w:sz w:val="32"/>
          <w:szCs w:val="32"/>
        </w:rPr>
        <w:t>万元，其中：政府采购货物预算</w:t>
      </w:r>
      <w:r>
        <w:rPr>
          <w:rFonts w:ascii="仿宋_GB2312" w:eastAsia="仿宋_GB2312" w:cs="仿宋_GB2312" w:hAnsi="仿宋_GB2312"/>
          <w:sz w:val="32"/>
          <w:szCs w:val="32"/>
        </w:rPr>
        <w:t>5.98</w:t>
      </w:r>
      <w:r>
        <w:rPr>
          <w:rFonts w:ascii="仿宋_GB2312" w:eastAsia="仿宋_GB2312" w:cs="仿宋_GB2312" w:hAnsi="仿宋_GB2312" w:hint="eastAsia"/>
          <w:sz w:val="32"/>
          <w:szCs w:val="32"/>
        </w:rPr>
        <w:t>万元、政府采购服务预算</w:t>
      </w:r>
      <w:r>
        <w:rPr>
          <w:rFonts w:ascii="仿宋_GB2312" w:eastAsia="仿宋_GB2312" w:cs="仿宋_GB2312" w:hAnsi="仿宋_GB2312"/>
          <w:sz w:val="32"/>
          <w:szCs w:val="32"/>
        </w:rPr>
        <w:t>17.50</w:t>
      </w:r>
      <w:r>
        <w:rPr>
          <w:rFonts w:ascii="仿宋_GB2312" w:eastAsia="仿宋_GB2312" w:cs="仿宋_GB2312" w:hAnsi="仿宋_GB2312" w:hint="eastAsia"/>
          <w:sz w:val="32"/>
          <w:szCs w:val="32"/>
        </w:rPr>
        <w:t>万元。</w:t>
      </w:r>
    </w:p>
    <w:p>
      <w:pPr>
        <w:spacing w:line="576" w:lineRule="exact"/>
        <w:ind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（三）国有资产占有使用情况</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hint="eastAsia"/>
          <w:sz w:val="32"/>
          <w:szCs w:val="32"/>
        </w:rPr>
        <w:t>截至</w:t>
      </w:r>
      <w:r>
        <w:rPr>
          <w:rFonts w:ascii="仿宋_GB2312" w:eastAsia="仿宋_GB2312" w:cs="仿宋_GB2312" w:hAnsi="仿宋_GB2312"/>
          <w:sz w:val="32"/>
          <w:szCs w:val="32"/>
        </w:rPr>
        <w:t>2024</w:t>
      </w:r>
      <w:r>
        <w:rPr>
          <w:rFonts w:ascii="仿宋_GB2312" w:eastAsia="仿宋_GB2312" w:cs="仿宋_GB2312" w:hAnsi="仿宋_GB2312" w:hint="eastAsia"/>
          <w:sz w:val="32"/>
          <w:szCs w:val="32"/>
        </w:rPr>
        <w:t>年底，市经济和信息化局共有车辆</w:t>
      </w:r>
      <w:r>
        <w:rPr>
          <w:rFonts w:ascii="仿宋_GB2312" w:eastAsia="仿宋_GB2312" w:cs="仿宋_GB2312" w:hAnsi="仿宋_GB2312"/>
          <w:sz w:val="32"/>
          <w:szCs w:val="32"/>
        </w:rPr>
        <w:t>4</w:t>
      </w:r>
      <w:r>
        <w:rPr>
          <w:rFonts w:ascii="仿宋_GB2312" w:eastAsia="仿宋_GB2312" w:cs="仿宋_GB2312" w:hAnsi="仿宋_GB2312" w:hint="eastAsia"/>
          <w:sz w:val="32"/>
          <w:szCs w:val="32"/>
        </w:rPr>
        <w:t>辆，其中，</w:t>
      </w:r>
      <w:r>
        <w:rPr>
          <w:rFonts w:ascii="仿宋_GB2312" w:eastAsia="仿宋_GB2312" w:hint="eastAsia"/>
          <w:sz w:val="32"/>
          <w:szCs w:val="32"/>
        </w:rPr>
        <w:t>一般公务用车</w:t>
      </w:r>
      <w:r>
        <w:rPr>
          <w:rFonts w:ascii="仿宋_GB2312" w:eastAsia="仿宋_GB2312"/>
          <w:sz w:val="32"/>
          <w:szCs w:val="32"/>
        </w:rPr>
        <w:t>1</w:t>
      </w:r>
      <w:r>
        <w:rPr>
          <w:rFonts w:ascii="仿宋_GB2312" w:eastAsia="仿宋_GB2312" w:hint="eastAsia"/>
          <w:sz w:val="32"/>
          <w:szCs w:val="32"/>
        </w:rPr>
        <w:t>辆、特种专业技术用车</w:t>
      </w:r>
      <w:r>
        <w:rPr>
          <w:rFonts w:ascii="仿宋_GB2312" w:eastAsia="仿宋_GB2312"/>
          <w:sz w:val="32"/>
          <w:szCs w:val="32"/>
        </w:rPr>
        <w:t>3</w:t>
      </w:r>
      <w:r>
        <w:rPr>
          <w:rFonts w:ascii="仿宋_GB2312" w:eastAsia="仿宋_GB2312" w:hint="eastAsia"/>
          <w:sz w:val="32"/>
          <w:szCs w:val="32"/>
        </w:rPr>
        <w:t>辆。单价</w:t>
      </w:r>
      <w:r>
        <w:rPr>
          <w:rFonts w:ascii="仿宋_GB2312" w:eastAsia="仿宋_GB2312"/>
          <w:sz w:val="32"/>
          <w:szCs w:val="32"/>
        </w:rPr>
        <w:t>200</w:t>
      </w:r>
      <w:r>
        <w:rPr>
          <w:rFonts w:ascii="仿宋_GB2312" w:eastAsia="仿宋_GB2312" w:hint="eastAsia"/>
          <w:sz w:val="32"/>
          <w:szCs w:val="32"/>
        </w:rPr>
        <w:t>万元以上大型设备</w:t>
      </w:r>
      <w:r>
        <w:rPr>
          <w:rFonts w:ascii="仿宋_GB2312" w:eastAsia="仿宋_GB2312"/>
          <w:sz w:val="32"/>
          <w:szCs w:val="32"/>
        </w:rPr>
        <w:t>4</w:t>
      </w:r>
      <w:r>
        <w:rPr>
          <w:rFonts w:ascii="仿宋_GB2312" w:eastAsia="仿宋_GB2312" w:hint="eastAsia"/>
          <w:sz w:val="32"/>
          <w:szCs w:val="32"/>
        </w:rPr>
        <w:t>台（套）。</w:t>
      </w:r>
    </w:p>
    <w:p>
      <w:pPr>
        <w:spacing w:line="576" w:lineRule="exact"/>
        <w:ind w:firstLineChars="200" w:firstLine="640"/>
        <w:rPr>
          <w:rFonts w:ascii="仿宋_GB2312" w:eastAsia="仿宋_GB2312" w:cs="仿宋_GB2312" w:hAnsi="仿宋_GB2312"/>
          <w:sz w:val="32"/>
          <w:szCs w:val="32"/>
        </w:rPr>
      </w:pPr>
      <w:r>
        <w:rPr>
          <w:rFonts w:ascii="仿宋_GB2312" w:eastAsia="仿宋_GB2312" w:cs="仿宋_GB2312" w:hAnsi="仿宋_GB2312"/>
          <w:sz w:val="32"/>
          <w:szCs w:val="32"/>
        </w:rPr>
        <w:t>2025</w:t>
      </w:r>
      <w:r>
        <w:rPr>
          <w:rFonts w:ascii="仿宋_GB2312" w:eastAsia="仿宋_GB2312" w:cs="仿宋_GB2312" w:hAnsi="仿宋_GB2312" w:hint="eastAsia"/>
          <w:sz w:val="32"/>
          <w:szCs w:val="32"/>
        </w:rPr>
        <w:t>年部门预算未安排购置车辆及单位价值</w:t>
      </w:r>
      <w:r>
        <w:rPr>
          <w:rFonts w:ascii="仿宋_GB2312" w:eastAsia="仿宋_GB2312" w:cs="仿宋_GB2312" w:hAnsi="仿宋_GB2312"/>
          <w:sz w:val="32"/>
          <w:szCs w:val="32"/>
        </w:rPr>
        <w:t>200</w:t>
      </w:r>
      <w:r>
        <w:rPr>
          <w:rFonts w:ascii="仿宋_GB2312" w:eastAsia="仿宋_GB2312" w:cs="仿宋_GB2312" w:hAnsi="仿宋_GB2312" w:hint="eastAsia"/>
          <w:sz w:val="32"/>
          <w:szCs w:val="32"/>
        </w:rPr>
        <w:t>万元以上大型设备。</w:t>
      </w:r>
    </w:p>
    <w:p>
      <w:pPr>
        <w:spacing w:line="576" w:lineRule="exact"/>
        <w:ind w:firstLineChars="200" w:firstLine="640"/>
        <w:rPr>
          <w:rFonts w:ascii="楷体_GB2312" w:eastAsia="楷体_GB2312" w:cs="楷体_GB2312" w:hAnsi="楷体_GB2312"/>
          <w:sz w:val="32"/>
          <w:szCs w:val="32"/>
        </w:rPr>
      </w:pPr>
      <w:r>
        <w:rPr>
          <w:rFonts w:ascii="楷体_GB2312" w:eastAsia="楷体_GB2312" w:cs="楷体_GB2312" w:hAnsi="楷体_GB2312" w:hint="eastAsia"/>
          <w:sz w:val="32"/>
          <w:szCs w:val="32"/>
        </w:rPr>
        <w:t>（四）绩效目标设置情况</w:t>
      </w:r>
    </w:p>
    <w:p>
      <w:pPr>
        <w:spacing w:line="576" w:lineRule="exact"/>
        <w:ind w:firstLineChars="200" w:firstLine="640"/>
        <w:rPr>
          <w:rFonts w:ascii="仿宋_GB2312" w:eastAsia="仿宋_GB2312" w:cs="仿宋_GB2312" w:hAnsi="仿宋_GB2312"/>
          <w:sz w:val="32"/>
          <w:szCs w:val="32"/>
          <w:highlight w:val="yellow"/>
        </w:rPr>
      </w:pPr>
      <w:r>
        <w:rPr>
          <w:rFonts w:ascii="仿宋_GB2312" w:eastAsia="仿宋_GB2312" w:cs="仿宋_GB2312" w:hAnsi="仿宋_GB2312"/>
          <w:sz w:val="32"/>
          <w:szCs w:val="32"/>
        </w:rPr>
        <w:t>2025</w:t>
      </w:r>
      <w:r>
        <w:rPr>
          <w:rFonts w:ascii="仿宋_GB2312" w:eastAsia="仿宋_GB2312" w:cs="仿宋_GB2312" w:hAnsi="仿宋_GB2312" w:hint="eastAsia"/>
          <w:sz w:val="32"/>
          <w:szCs w:val="32"/>
        </w:rPr>
        <w:t>年市经济和信息化局开展绩效目标管理的项目</w:t>
      </w:r>
      <w:r>
        <w:rPr>
          <w:rFonts w:ascii="仿宋_GB2312" w:eastAsia="仿宋_GB2312" w:cs="仿宋_GB2312" w:hAnsi="仿宋_GB2312"/>
          <w:sz w:val="32"/>
          <w:szCs w:val="32"/>
        </w:rPr>
        <w:t>27</w:t>
      </w:r>
      <w:r>
        <w:rPr>
          <w:rFonts w:ascii="仿宋_GB2312" w:eastAsia="仿宋_GB2312" w:cs="仿宋_GB2312" w:hAnsi="仿宋_GB2312" w:hint="eastAsia"/>
          <w:sz w:val="32"/>
          <w:szCs w:val="32"/>
        </w:rPr>
        <w:t>个，涉及预算</w:t>
      </w:r>
      <w:r>
        <w:rPr>
          <w:rFonts w:ascii="仿宋_GB2312" w:eastAsia="仿宋_GB2312" w:cs="仿宋_GB2312" w:hAnsi="仿宋_GB2312"/>
          <w:sz w:val="32"/>
          <w:szCs w:val="32"/>
        </w:rPr>
        <w:t>2800.61</w:t>
      </w:r>
      <w:r>
        <w:rPr>
          <w:rFonts w:ascii="仿宋_GB2312" w:eastAsia="仿宋_GB2312" w:cs="仿宋_GB2312" w:hAnsi="仿宋_GB2312" w:hint="eastAsia"/>
          <w:sz w:val="32"/>
          <w:szCs w:val="32"/>
        </w:rPr>
        <w:t>万元。其中：人员类项目</w:t>
      </w:r>
      <w:r>
        <w:rPr>
          <w:rFonts w:ascii="仿宋_GB2312" w:eastAsia="仿宋_GB2312" w:cs="仿宋_GB2312" w:hAnsi="仿宋_GB2312"/>
          <w:sz w:val="32"/>
          <w:szCs w:val="32"/>
        </w:rPr>
        <w:t>16</w:t>
      </w:r>
      <w:r>
        <w:rPr>
          <w:rFonts w:ascii="仿宋_GB2312" w:eastAsia="仿宋_GB2312" w:cs="仿宋_GB2312" w:hAnsi="仿宋_GB2312" w:hint="eastAsia"/>
          <w:sz w:val="32"/>
          <w:szCs w:val="32"/>
        </w:rPr>
        <w:t>个，涉及预算</w:t>
      </w:r>
      <w:r>
        <w:rPr>
          <w:rFonts w:ascii="仿宋_GB2312" w:eastAsia="仿宋_GB2312" w:cs="仿宋_GB2312" w:hAnsi="仿宋_GB2312"/>
          <w:sz w:val="32"/>
          <w:szCs w:val="32"/>
        </w:rPr>
        <w:t>2167.27</w:t>
      </w:r>
      <w:r>
        <w:rPr>
          <w:rFonts w:ascii="仿宋_GB2312" w:eastAsia="仿宋_GB2312" w:cs="仿宋_GB2312" w:hAnsi="仿宋_GB2312" w:hint="eastAsia"/>
          <w:sz w:val="32"/>
          <w:szCs w:val="32"/>
        </w:rPr>
        <w:t>万元；运转类项目</w:t>
      </w:r>
      <w:r>
        <w:rPr>
          <w:rFonts w:ascii="仿宋_GB2312" w:eastAsia="仿宋_GB2312" w:cs="仿宋_GB2312" w:hAnsi="仿宋_GB2312"/>
          <w:sz w:val="32"/>
          <w:szCs w:val="32"/>
        </w:rPr>
        <w:t>4</w:t>
      </w:r>
      <w:r>
        <w:rPr>
          <w:rFonts w:ascii="仿宋_GB2312" w:eastAsia="仿宋_GB2312" w:cs="仿宋_GB2312" w:hAnsi="仿宋_GB2312" w:hint="eastAsia"/>
          <w:sz w:val="32"/>
          <w:szCs w:val="32"/>
        </w:rPr>
        <w:t>个，涉及预算</w:t>
      </w:r>
      <w:r>
        <w:rPr>
          <w:rFonts w:ascii="仿宋_GB2312" w:eastAsia="仿宋_GB2312" w:cs="仿宋_GB2312" w:hAnsi="仿宋_GB2312"/>
          <w:sz w:val="32"/>
          <w:szCs w:val="32"/>
        </w:rPr>
        <w:t>369.78</w:t>
      </w:r>
      <w:r>
        <w:rPr>
          <w:rFonts w:ascii="仿宋_GB2312" w:eastAsia="仿宋_GB2312" w:cs="仿宋_GB2312" w:hAnsi="仿宋_GB2312" w:hint="eastAsia"/>
          <w:sz w:val="32"/>
          <w:szCs w:val="32"/>
        </w:rPr>
        <w:t>万元；特定目标类项目</w:t>
      </w:r>
      <w:r>
        <w:rPr>
          <w:rFonts w:ascii="仿宋_GB2312" w:eastAsia="仿宋_GB2312" w:cs="仿宋_GB2312" w:hAnsi="仿宋_GB2312"/>
          <w:sz w:val="32"/>
          <w:szCs w:val="32"/>
        </w:rPr>
        <w:t>7</w:t>
      </w:r>
      <w:r>
        <w:rPr>
          <w:rFonts w:ascii="仿宋_GB2312" w:eastAsia="仿宋_GB2312" w:cs="仿宋_GB2312" w:hAnsi="仿宋_GB2312" w:hint="eastAsia"/>
          <w:sz w:val="32"/>
          <w:szCs w:val="32"/>
        </w:rPr>
        <w:t>个，涉及预算</w:t>
      </w:r>
      <w:r>
        <w:rPr>
          <w:rFonts w:ascii="仿宋_GB2312" w:eastAsia="仿宋_GB2312" w:cs="仿宋_GB2312" w:hAnsi="仿宋_GB2312"/>
          <w:sz w:val="32"/>
          <w:szCs w:val="32"/>
        </w:rPr>
        <w:t>263.56</w:t>
      </w:r>
      <w:r>
        <w:rPr>
          <w:rFonts w:ascii="仿宋_GB2312" w:eastAsia="仿宋_GB2312" w:cs="仿宋_GB2312" w:hAnsi="仿宋_GB2312" w:hint="eastAsia"/>
          <w:sz w:val="32"/>
          <w:szCs w:val="32"/>
        </w:rPr>
        <w:t>万元。</w:t>
      </w:r>
    </w:p>
    <w:p>
      <w:pPr>
        <w:widowControl/>
        <w:shd w:val="clear" w:color="auto" w:fill="FFFFFF"/>
        <w:suppressAutoHyphens/>
        <w:spacing w:line="580" w:lineRule="atLeast"/>
        <w:jc w:val="center"/>
        <w:rPr>
          <w:rFonts w:ascii="方正小标宋简体" w:eastAsia="方正小标宋简体" w:cs="方正小标宋简体" w:hAnsi="方正小标宋简体"/>
          <w:b/>
          <w:bCs/>
          <w:color w:val="000000"/>
          <w:kern w:val="0"/>
          <w:sz w:val="44"/>
          <w:szCs w:val="44"/>
          <w:shd w:val="clear" w:color="auto" w:fill="FFFFFF"/>
        </w:rPr>
      </w:pPr>
    </w:p>
    <w:p>
      <w:pPr>
        <w:widowControl/>
        <w:shd w:val="clear" w:color="auto" w:fill="FFFFFF"/>
        <w:suppressAutoHyphens/>
        <w:spacing w:line="580" w:lineRule="atLeast"/>
        <w:jc w:val="center"/>
        <w:rPr>
          <w:rFonts w:ascii="方正小标宋简体" w:eastAsia="方正小标宋简体" w:cs="方正小标宋简体" w:hAnsi="方正小标宋简体"/>
          <w:color w:val="000000"/>
          <w:kern w:val="0"/>
          <w:sz w:val="44"/>
          <w:szCs w:val="44"/>
          <w:shd w:val="clear" w:color="auto" w:fill="FFFFFF"/>
        </w:rPr>
      </w:pPr>
    </w:p>
    <w:p>
      <w:pPr>
        <w:widowControl/>
        <w:shd w:val="clear" w:color="auto" w:fill="FFFFFF"/>
        <w:suppressAutoHyphens/>
        <w:spacing w:line="580" w:lineRule="atLeast"/>
        <w:jc w:val="center"/>
        <w:rPr>
          <w:rFonts w:ascii="方正小标宋简体" w:eastAsia="方正小标宋简体" w:cs="方正小标宋简体" w:hAnsi="方正小标宋简体"/>
          <w:color w:val="000000"/>
          <w:kern w:val="0"/>
          <w:sz w:val="44"/>
          <w:szCs w:val="44"/>
          <w:shd w:val="clear" w:color="auto" w:fill="FFFFFF"/>
        </w:rPr>
      </w:pPr>
    </w:p>
    <w:p>
      <w:pPr>
        <w:widowControl/>
        <w:shd w:val="clear" w:color="auto" w:fill="FFFFFF"/>
        <w:suppressAutoHyphens/>
        <w:spacing w:line="580" w:lineRule="atLeast"/>
        <w:jc w:val="center"/>
        <w:rPr>
          <w:rFonts w:ascii="方正小标宋简体" w:eastAsia="方正小标宋简体" w:cs="方正小标宋简体" w:hAnsi="方正小标宋简体"/>
          <w:color w:val="000000"/>
          <w:kern w:val="0"/>
          <w:sz w:val="44"/>
          <w:szCs w:val="44"/>
          <w:shd w:val="clear" w:color="auto" w:fill="FFFFFF"/>
        </w:rPr>
      </w:pPr>
    </w:p>
    <w:p>
      <w:pPr>
        <w:widowControl/>
        <w:shd w:val="clear" w:color="auto" w:fill="FFFFFF"/>
        <w:suppressAutoHyphens/>
        <w:spacing w:line="580" w:lineRule="atLeast"/>
        <w:jc w:val="center"/>
        <w:rPr>
          <w:rFonts w:ascii="方正小标宋简体" w:eastAsia="方正小标宋简体" w:cs="方正小标宋简体" w:hAnsi="方正小标宋简体"/>
          <w:color w:val="000000"/>
          <w:kern w:val="0"/>
          <w:sz w:val="44"/>
          <w:szCs w:val="44"/>
          <w:shd w:val="clear" w:color="auto" w:fill="FFFFFF"/>
        </w:rPr>
      </w:pPr>
    </w:p>
    <w:p>
      <w:pPr>
        <w:widowControl/>
        <w:shd w:val="clear" w:color="auto" w:fill="FFFFFF"/>
        <w:suppressAutoHyphens/>
        <w:spacing w:line="580" w:lineRule="atLeast"/>
        <w:jc w:val="center"/>
        <w:rPr>
          <w:rFonts w:ascii="方正小标宋简体" w:eastAsia="方正小标宋简体" w:cs="方正小标宋简体" w:hAnsi="方正小标宋简体"/>
          <w:color w:val="000000"/>
          <w:kern w:val="0"/>
          <w:sz w:val="44"/>
          <w:szCs w:val="44"/>
          <w:shd w:val="clear" w:color="auto" w:fill="FFFFFF"/>
        </w:rPr>
      </w:pPr>
    </w:p>
    <w:p>
      <w:pPr>
        <w:widowControl/>
        <w:shd w:val="clear" w:color="auto" w:fill="FFFFFF"/>
        <w:suppressAutoHyphens/>
        <w:spacing w:line="580" w:lineRule="atLeast"/>
        <w:jc w:val="center"/>
        <w:rPr>
          <w:rFonts w:ascii="方正小标宋简体" w:eastAsia="方正小标宋简体" w:cs="方正小标宋简体" w:hAnsi="方正小标宋简体"/>
          <w:color w:val="000000"/>
          <w:kern w:val="0"/>
          <w:sz w:val="44"/>
          <w:szCs w:val="44"/>
          <w:shd w:val="clear" w:color="auto" w:fill="FFFFFF"/>
        </w:rPr>
      </w:pPr>
    </w:p>
    <w:p>
      <w:pPr>
        <w:widowControl/>
        <w:shd w:val="clear" w:color="auto" w:fill="FFFFFF"/>
        <w:suppressAutoHyphens/>
        <w:spacing w:line="580" w:lineRule="atLeast"/>
        <w:jc w:val="center"/>
        <w:rPr>
          <w:rFonts w:ascii="方正小标宋简体" w:eastAsia="方正小标宋简体" w:cs="方正小标宋简体" w:hAnsi="方正小标宋简体"/>
          <w:color w:val="000000"/>
          <w:kern w:val="0"/>
          <w:sz w:val="44"/>
          <w:szCs w:val="44"/>
          <w:shd w:val="clear" w:color="auto" w:fill="FFFFFF"/>
        </w:rPr>
      </w:pPr>
    </w:p>
    <w:p>
      <w:pPr>
        <w:widowControl/>
        <w:shd w:val="clear" w:color="auto" w:fill="FFFFFF"/>
        <w:suppressAutoHyphens/>
        <w:spacing w:line="580" w:lineRule="atLeast"/>
        <w:jc w:val="center"/>
        <w:rPr>
          <w:rFonts w:ascii="方正小标宋简体" w:eastAsia="方正小标宋简体" w:cs="方正小标宋简体" w:hAnsi="方正小标宋简体"/>
          <w:color w:val="000000"/>
          <w:kern w:val="0"/>
          <w:sz w:val="44"/>
          <w:szCs w:val="44"/>
          <w:shd w:val="clear" w:color="auto" w:fill="FFFFFF"/>
        </w:rPr>
      </w:pPr>
    </w:p>
    <w:p/>
    <w:p>
      <w:pPr>
        <w:widowControl/>
        <w:numPr>
          <w:ilvl w:val="0"/>
          <w:numId w:val="4"/>
        </w:numPr>
        <w:shd w:val="clear" w:color="auto" w:fill="FFFFFF"/>
        <w:suppressAutoHyphens/>
        <w:spacing w:line="576" w:lineRule="exact"/>
        <w:jc w:val="center"/>
        <w:outlineLvl w:val="0"/>
        <w:rPr>
          <w:rFonts w:ascii="方正小标宋简体" w:eastAsia="方正小标宋简体" w:cs="方正小标宋简体" w:hAnsi="方正小标宋简体"/>
          <w:color w:val="000000"/>
          <w:kern w:val="0"/>
          <w:sz w:val="44"/>
          <w:szCs w:val="44"/>
          <w:shd w:val="clear" w:color="auto" w:fill="FFFFFF"/>
        </w:rPr>
      </w:pPr>
      <w:bookmarkStart w:id="7" w:name="_Toc188545361"/>
      <w:bookmarkStart w:id="8" w:name="_Toc188545582"/>
      <w:r>
        <w:rPr>
          <w:rFonts w:ascii="方正小标宋简体" w:eastAsia="方正小标宋简体" w:cs="方正小标宋简体" w:hAnsi="方正小标宋简体" w:hint="eastAsia"/>
          <w:color w:val="000000"/>
          <w:kern w:val="0"/>
          <w:sz w:val="44"/>
          <w:szCs w:val="44"/>
          <w:shd w:val="clear" w:color="auto" w:fill="FFFFFF"/>
        </w:rPr>
        <w:t>名词解释</w:t>
      </w:r>
      <w:bookmarkEnd w:id="7"/>
      <w:bookmarkEnd w:id="8"/>
    </w:p>
    <w:p>
      <w:pPr>
        <w:spacing w:line="576" w:lineRule="exact"/>
        <w:rPr>
          <w:rFonts w:ascii="黑体" w:eastAsia="黑体" w:cs="黑体" w:hAnsi="黑体"/>
          <w:sz w:val="32"/>
          <w:szCs w:val="32"/>
        </w:rPr>
      </w:pPr>
    </w:p>
    <w:p>
      <w:pPr>
        <w:spacing w:line="576" w:lineRule="exact"/>
        <w:ind w:firstLineChars="200" w:firstLine="640"/>
        <w:outlineLvl w:val="1"/>
        <w:rPr>
          <w:rFonts w:ascii="仿宋_GB2312" w:eastAsia="仿宋_GB2312"/>
          <w:sz w:val="32"/>
          <w:szCs w:val="32"/>
        </w:rPr>
      </w:pPr>
      <w:bookmarkStart w:id="9" w:name="_Toc11040"/>
      <w:r>
        <w:rPr>
          <w:rFonts w:ascii="楷体_GB2312" w:eastAsia="楷体_GB2312" w:hint="eastAsia"/>
          <w:sz w:val="32"/>
          <w:szCs w:val="32"/>
        </w:rPr>
        <w:t>一、</w:t>
      </w:r>
      <w:r>
        <w:rPr>
          <w:rFonts w:ascii="楷体_GB2312" w:eastAsia="楷体_GB2312" w:hint="eastAsia"/>
          <w:sz w:val="32"/>
          <w:szCs w:val="32"/>
          <w:lang w:val="en-US" w:eastAsia="zh-CN"/>
        </w:rPr>
        <w:t>财政拨款收入</w:t>
      </w:r>
      <w:r>
        <w:rPr>
          <w:rFonts w:ascii="楷体_GB2312" w:eastAsia="楷体_GB2312" w:hint="eastAsia"/>
          <w:sz w:val="32"/>
          <w:szCs w:val="32"/>
        </w:rPr>
        <w:t>：</w:t>
      </w:r>
      <w:r>
        <w:rPr>
          <w:rFonts w:ascii="仿宋_GB2312" w:eastAsia="仿宋_GB2312" w:cs="仿宋_GB2312" w:hAnsi="仿宋_GB2312" w:hint="eastAsia"/>
          <w:sz w:val="32"/>
          <w:szCs w:val="32"/>
          <w:lang w:val="en-US" w:eastAsia="zh-CN"/>
        </w:rPr>
        <w:t>指市财政当年安排的财政预算收入。</w:t>
      </w:r>
      <w:bookmarkEnd w:id="9"/>
      <w:r>
        <w:rPr>
          <w:rFonts w:ascii="仿宋_GB2312" w:eastAsia="仿宋_GB2312" w:hint="eastAsia"/>
          <w:sz w:val="32"/>
          <w:szCs w:val="32"/>
        </w:rPr>
        <w:t>按现行管理制度,部门预算中反映的财政拨款包括一般公共预算拨款和政府性基金预算拨款。</w:t>
      </w:r>
    </w:p>
    <w:p>
      <w:pPr>
        <w:spacing w:line="576" w:lineRule="exact"/>
        <w:ind w:firstLineChars="200" w:firstLine="640"/>
        <w:rPr>
          <w:rFonts w:ascii="仿宋_GB2312" w:eastAsia="仿宋_GB2312"/>
          <w:sz w:val="32"/>
          <w:szCs w:val="32"/>
        </w:rPr>
      </w:pPr>
      <w:r>
        <w:rPr>
          <w:rFonts w:ascii="楷体_GB2312" w:eastAsia="楷体_GB2312" w:hint="eastAsia"/>
          <w:sz w:val="32"/>
          <w:szCs w:val="32"/>
        </w:rPr>
        <w:t>二、其他收入：</w:t>
      </w:r>
      <w:r>
        <w:rPr>
          <w:rFonts w:ascii="仿宋_GB2312" w:eastAsia="仿宋_GB2312" w:hint="eastAsia"/>
          <w:sz w:val="32"/>
          <w:szCs w:val="32"/>
        </w:rPr>
        <w:t>反映除一般公共预算拨款收入、政府性基金预算拨款收入、国有资本经营预算拨款收入、事业收入、事业单位经营收入以外的其他收入。</w:t>
      </w:r>
    </w:p>
    <w:p>
      <w:pPr>
        <w:spacing w:line="576" w:lineRule="exact"/>
        <w:ind w:firstLineChars="200" w:firstLine="640"/>
        <w:rPr>
          <w:rFonts w:ascii="仿宋_GB2312" w:eastAsia="仿宋_GB2312"/>
          <w:sz w:val="32"/>
          <w:szCs w:val="32"/>
        </w:rPr>
      </w:pPr>
      <w:r>
        <w:rPr>
          <w:rFonts w:ascii="楷体_GB2312" w:eastAsia="楷体_GB2312" w:hint="eastAsia"/>
          <w:sz w:val="32"/>
          <w:szCs w:val="32"/>
        </w:rPr>
        <w:t>三、一般公共服务支出（类）政府办公厅（室）及相关机构事务（款）行政运行（项）：</w:t>
      </w:r>
      <w:r>
        <w:rPr>
          <w:rFonts w:ascii="仿宋_GB2312" w:eastAsia="仿宋_GB2312" w:hint="eastAsia"/>
          <w:sz w:val="32"/>
          <w:szCs w:val="32"/>
        </w:rPr>
        <w:t>反映行政单位（包括实行公务员管理的事业单位）的基本支出。</w:t>
      </w:r>
    </w:p>
    <w:p>
      <w:pPr>
        <w:spacing w:line="576" w:lineRule="exact"/>
        <w:ind w:firstLineChars="200" w:firstLine="640"/>
        <w:rPr>
          <w:rFonts w:ascii="仿宋_GB2312" w:eastAsia="仿宋_GB2312"/>
          <w:sz w:val="32"/>
          <w:szCs w:val="32"/>
        </w:rPr>
      </w:pPr>
      <w:r>
        <w:rPr>
          <w:rFonts w:ascii="楷体_GB2312" w:eastAsia="楷体_GB2312" w:hint="eastAsia"/>
          <w:sz w:val="32"/>
          <w:szCs w:val="32"/>
        </w:rPr>
        <w:t>四、一般公共服务支出（类）政府办公厅（室）及相关机构事务（款）一般行政管理事务（项）：</w:t>
      </w:r>
      <w:r>
        <w:rPr>
          <w:rFonts w:ascii="仿宋_GB2312" w:eastAsia="仿宋_GB2312" w:hint="eastAsia"/>
          <w:sz w:val="32"/>
          <w:szCs w:val="32"/>
        </w:rPr>
        <w:t>反映行政单位（包括实行公务员管理的事业单位）未单独设置项级科目的其他项目支出。</w:t>
      </w:r>
    </w:p>
    <w:p>
      <w:pPr>
        <w:numPr>
          <w:ilvl w:val="0"/>
          <w:numId w:val="7"/>
        </w:numPr>
        <w:spacing w:line="576" w:lineRule="exact"/>
        <w:ind w:left="0" w:firstLineChars="200" w:firstLine="640"/>
        <w:rPr>
          <w:rFonts w:ascii="楷体_GB2312" w:eastAsia="楷体_GB2312"/>
          <w:sz w:val="32"/>
          <w:szCs w:val="32"/>
        </w:rPr>
      </w:pPr>
      <w:r>
        <w:rPr>
          <w:rFonts w:ascii="楷体_GB2312" w:eastAsia="楷体_GB2312" w:hint="eastAsia"/>
          <w:sz w:val="32"/>
          <w:szCs w:val="32"/>
        </w:rPr>
        <w:t>社会保障和就业支出（类）行政事业单位养老支出（款）</w:t>
      </w:r>
    </w:p>
    <w:p>
      <w:pPr>
        <w:spacing w:line="576" w:lineRule="exact"/>
        <w:rPr>
          <w:rFonts w:ascii="仿宋_GB2312" w:eastAsia="仿宋_GB2312"/>
          <w:sz w:val="32"/>
          <w:szCs w:val="32"/>
        </w:rPr>
      </w:pPr>
      <w:r>
        <w:rPr>
          <w:rFonts w:ascii="楷体_GB2312" w:eastAsia="楷体_GB2312" w:hint="eastAsia"/>
          <w:sz w:val="32"/>
          <w:szCs w:val="32"/>
        </w:rPr>
        <w:t>机关事业单位基本养老保险缴费支出（项）：</w:t>
      </w:r>
      <w:r>
        <w:rPr>
          <w:rFonts w:ascii="仿宋_GB2312" w:eastAsia="仿宋_GB2312" w:hint="eastAsia"/>
          <w:sz w:val="32"/>
          <w:szCs w:val="32"/>
        </w:rPr>
        <w:t>反映机关事业单位实施养老保险制度由单位市级缴纳的基本养老保险支出。</w:t>
      </w:r>
    </w:p>
    <w:p>
      <w:pPr>
        <w:spacing w:line="576" w:lineRule="exact"/>
        <w:ind w:firstLineChars="200" w:firstLine="640"/>
        <w:rPr>
          <w:rFonts w:ascii="仿宋_GB2312" w:eastAsia="仿宋_GB2312" w:cs="方正楷体_GBK" w:hAnsi="方正楷体_GBK"/>
          <w:sz w:val="32"/>
          <w:szCs w:val="32"/>
        </w:rPr>
      </w:pPr>
      <w:r>
        <w:rPr>
          <w:rFonts w:ascii="楷体_GB2312" w:eastAsia="楷体_GB2312" w:hint="eastAsia"/>
          <w:sz w:val="32"/>
          <w:szCs w:val="32"/>
        </w:rPr>
        <w:t>六、</w:t>
      </w:r>
      <w:r>
        <w:rPr>
          <w:rFonts w:ascii="楷体_GB2312" w:eastAsia="楷体_GB2312" w:cs="方正楷体_GBK" w:hAnsi="方正楷体_GBK" w:hint="eastAsia"/>
          <w:sz w:val="32"/>
          <w:szCs w:val="32"/>
        </w:rPr>
        <w:t>社会保障和就业支出（类）其他社会保障和就业支出（款）其他社会保障和就业支出（项）：</w:t>
      </w:r>
      <w:r>
        <w:rPr>
          <w:rFonts w:ascii="仿宋_GB2312" w:eastAsia="仿宋_GB2312" w:cs="方正仿宋_GBK" w:hAnsi="方正仿宋_GBK" w:hint="eastAsia"/>
          <w:sz w:val="32"/>
          <w:szCs w:val="32"/>
        </w:rPr>
        <w:t>反映除上述项目以外其他用于社会保障和就业方面的支出。</w:t>
      </w:r>
    </w:p>
    <w:p>
      <w:pPr>
        <w:spacing w:line="576" w:lineRule="exact"/>
        <w:ind w:firstLineChars="200" w:firstLine="640"/>
        <w:rPr>
          <w:rFonts w:ascii="仿宋_GB2312" w:eastAsia="仿宋_GB2312" w:hint="eastAsia"/>
          <w:sz w:val="32"/>
          <w:szCs w:val="32"/>
          <w:lang w:eastAsia="zh-CN"/>
        </w:rPr>
      </w:pPr>
      <w:r>
        <w:rPr>
          <w:rFonts w:ascii="楷体_GB2312" w:eastAsia="楷体_GB2312" w:hint="eastAsia"/>
          <w:sz w:val="32"/>
          <w:szCs w:val="32"/>
        </w:rPr>
        <w:t>七、节能环保支出</w:t>
      </w:r>
      <w:r>
        <w:rPr>
          <w:rFonts w:ascii="楷体_GB2312" w:eastAsia="楷体_GB2312" w:hint="eastAsia"/>
          <w:sz w:val="32"/>
          <w:szCs w:val="32"/>
          <w:lang w:eastAsia="zh-CN"/>
        </w:rPr>
        <w:t>（</w:t>
      </w:r>
      <w:r>
        <w:rPr>
          <w:rFonts w:ascii="楷体_GB2312" w:eastAsia="楷体_GB2312" w:hint="eastAsia"/>
          <w:sz w:val="32"/>
          <w:szCs w:val="32"/>
          <w:lang w:val="en-US" w:eastAsia="zh-CN"/>
        </w:rPr>
        <w:t>类</w:t>
      </w:r>
      <w:r>
        <w:rPr>
          <w:rFonts w:ascii="楷体_GB2312" w:eastAsia="楷体_GB2312" w:hint="eastAsia"/>
          <w:sz w:val="32"/>
          <w:szCs w:val="32"/>
          <w:lang w:eastAsia="zh-CN"/>
        </w:rPr>
        <w:t>）</w:t>
      </w:r>
      <w:r>
        <w:rPr>
          <w:rFonts w:ascii="楷体_GB2312" w:eastAsia="楷体_GB2312" w:hint="eastAsia"/>
          <w:sz w:val="32"/>
          <w:szCs w:val="32"/>
          <w:lang w:val="en-US" w:eastAsia="zh-CN"/>
        </w:rPr>
        <w:t>污染减排（款）</w:t>
      </w:r>
      <w:r>
        <w:rPr>
          <w:rFonts w:ascii="楷体_GB2312" w:eastAsia="楷体_GB2312" w:hint="eastAsia"/>
          <w:sz w:val="32"/>
          <w:szCs w:val="32"/>
        </w:rPr>
        <w:t>生态环境监测与信息</w:t>
      </w:r>
      <w:r>
        <w:rPr>
          <w:rFonts w:ascii="楷体_GB2312" w:eastAsia="楷体_GB2312" w:hint="eastAsia"/>
          <w:sz w:val="32"/>
          <w:szCs w:val="32"/>
          <w:lang w:eastAsia="zh-CN"/>
        </w:rPr>
        <w:t>（</w:t>
      </w:r>
      <w:r>
        <w:rPr>
          <w:rFonts w:ascii="楷体_GB2312" w:eastAsia="楷体_GB2312" w:hint="eastAsia"/>
          <w:sz w:val="32"/>
          <w:szCs w:val="32"/>
          <w:lang w:val="en-US" w:eastAsia="zh-CN"/>
        </w:rPr>
        <w:t>项</w:t>
      </w:r>
      <w:r>
        <w:rPr>
          <w:rFonts w:ascii="楷体_GB2312" w:eastAsia="楷体_GB2312" w:hint="eastAsia"/>
          <w:sz w:val="32"/>
          <w:szCs w:val="32"/>
          <w:lang w:eastAsia="zh-CN"/>
        </w:rPr>
        <w:t>）：</w:t>
      </w:r>
      <w:r>
        <w:rPr>
          <w:rFonts w:ascii="仿宋_GB2312" w:eastAsia="仿宋_GB2312" w:hint="eastAsia"/>
          <w:sz w:val="32"/>
          <w:szCs w:val="32"/>
        </w:rPr>
        <w:t>反映生态环境部门监测和信息方面的支出，包括环境质量监测、污染治理设施竣工验收监测、污染源监督性监测、污染事故应急监测和污染纠纷监测等支出，环境统计和调查、环境质量评价、绿色国民经济核算等支出，环境信息系统建设、维护、运行、信息发布及其技术支持等方面的支出。</w:t>
      </w:r>
    </w:p>
    <w:p>
      <w:pPr>
        <w:spacing w:line="576" w:lineRule="exact"/>
        <w:ind w:firstLineChars="200" w:firstLine="640"/>
        <w:rPr>
          <w:rFonts w:ascii="仿宋_GB2312" w:eastAsia="仿宋_GB2312"/>
          <w:sz w:val="32"/>
          <w:szCs w:val="32"/>
        </w:rPr>
      </w:pPr>
      <w:r>
        <w:rPr>
          <w:rFonts w:ascii="楷体_GB2312" w:eastAsia="楷体_GB2312" w:hint="eastAsia"/>
          <w:sz w:val="32"/>
          <w:szCs w:val="32"/>
          <w:lang w:val="en-US" w:eastAsia="zh-CN"/>
          <w:highlight w:val="auto"/>
        </w:rPr>
        <w:t>八、</w:t>
      </w:r>
      <w:r>
        <w:rPr>
          <w:rFonts w:ascii="楷体_GB2312" w:eastAsia="楷体_GB2312" w:hint="eastAsia"/>
          <w:sz w:val="32"/>
          <w:szCs w:val="32"/>
          <w:highlight w:val="auto"/>
        </w:rPr>
        <w:t>卫生健康支出（类）行政事业单位医疗（款）行政单位医疗（项）：</w:t>
      </w:r>
      <w:r>
        <w:rPr>
          <w:rFonts w:ascii="仿宋_GB2312" w:eastAsia="仿宋_GB2312" w:hint="eastAsia"/>
          <w:sz w:val="32"/>
          <w:szCs w:val="32"/>
          <w:highlight w:val="auto"/>
        </w:rPr>
        <w:t>反映财政部门安排的行政</w:t>
      </w:r>
      <w:r>
        <w:rPr>
          <w:rFonts w:ascii="仿宋_GB2312" w:eastAsia="仿宋_GB2312" w:hint="eastAsia"/>
          <w:sz w:val="32"/>
          <w:szCs w:val="32"/>
        </w:rPr>
        <w:t>单位（包括实行公务员管理的事业单位</w:t>
      </w:r>
      <w:r>
        <w:rPr>
          <w:rFonts w:ascii="仿宋_GB2312" w:eastAsia="仿宋_GB2312"/>
          <w:sz w:val="32"/>
          <w:szCs w:val="32"/>
        </w:rPr>
        <w:t>)</w:t>
      </w:r>
      <w:r>
        <w:rPr>
          <w:rFonts w:ascii="仿宋_GB2312" w:eastAsia="仿宋_GB2312" w:hint="eastAsia"/>
          <w:sz w:val="32"/>
          <w:szCs w:val="32"/>
        </w:rPr>
        <w:t>基本医疗保险缴费经费，未参加医疗保险的行政单位的公费医疗经费，按国家规定享受离休人员、红军老战士待遇人员的医疗经费。</w:t>
      </w:r>
    </w:p>
    <w:p>
      <w:pPr>
        <w:spacing w:line="576" w:lineRule="exact"/>
        <w:ind w:firstLineChars="200" w:firstLine="640"/>
        <w:rPr>
          <w:rFonts w:ascii="仿宋_GB2312" w:eastAsia="仿宋_GB2312"/>
          <w:sz w:val="32"/>
          <w:szCs w:val="32"/>
        </w:rPr>
      </w:pPr>
      <w:r>
        <w:rPr>
          <w:rFonts w:ascii="楷体_GB2312" w:eastAsia="楷体_GB2312" w:hint="eastAsia"/>
          <w:sz w:val="32"/>
          <w:szCs w:val="32"/>
        </w:rPr>
        <w:t>八、住房保障支出（类）住房改革支出（款）住房公积金（项）：</w:t>
      </w:r>
      <w:r>
        <w:rPr>
          <w:rFonts w:ascii="仿宋_GB2312" w:eastAsia="仿宋_GB2312" w:hint="eastAsia"/>
          <w:sz w:val="32"/>
          <w:szCs w:val="32"/>
        </w:rPr>
        <w:t>反映</w:t>
      </w:r>
      <w:r>
        <w:rPr>
          <w:rFonts w:ascii="仿宋_GB2312" w:eastAsia="仿宋_GB2312" w:cs="仿宋_GB2312" w:hAnsi="仿宋_GB2312" w:hint="eastAsia"/>
          <w:sz w:val="32"/>
          <w:szCs w:val="32"/>
          <w:lang w:val="en-US" w:eastAsia="zh-CN"/>
        </w:rPr>
        <w:t>指按照《住房公积金管理条例》的规定，由单位及其在职职工缴存的长期住房储金。</w:t>
      </w:r>
    </w:p>
    <w:p>
      <w:pPr>
        <w:spacing w:line="576" w:lineRule="exact"/>
        <w:ind w:firstLineChars="200" w:firstLine="640"/>
        <w:rPr>
          <w:rFonts w:ascii="仿宋_GB2312" w:eastAsia="仿宋_GB2312"/>
          <w:sz w:val="32"/>
          <w:szCs w:val="32"/>
        </w:rPr>
      </w:pPr>
      <w:r>
        <w:rPr>
          <w:rFonts w:ascii="楷体_GB2312" w:eastAsia="楷体_GB2312" w:hint="eastAsia"/>
          <w:sz w:val="32"/>
          <w:szCs w:val="32"/>
        </w:rPr>
        <w:t>九、基本支出：</w:t>
      </w:r>
      <w:r>
        <w:rPr>
          <w:rFonts w:ascii="仿宋_GB2312" w:eastAsia="仿宋_GB2312" w:hint="eastAsia"/>
          <w:sz w:val="32"/>
          <w:szCs w:val="32"/>
        </w:rPr>
        <w:t>指为保证机构正常运转，完成日常工作任务而发生的人员支出和公用支出。</w:t>
      </w:r>
    </w:p>
    <w:p>
      <w:pPr>
        <w:spacing w:line="576" w:lineRule="exact"/>
        <w:ind w:firstLineChars="200" w:firstLine="640"/>
        <w:rPr>
          <w:rFonts w:ascii="仿宋_GB2312" w:eastAsia="仿宋_GB2312"/>
          <w:sz w:val="32"/>
          <w:szCs w:val="32"/>
        </w:rPr>
      </w:pPr>
      <w:r>
        <w:rPr>
          <w:rFonts w:ascii="楷体_GB2312" w:eastAsia="楷体_GB2312" w:hint="eastAsia"/>
          <w:sz w:val="32"/>
          <w:szCs w:val="32"/>
        </w:rPr>
        <w:t>十、项目支出：</w:t>
      </w:r>
      <w:r>
        <w:rPr>
          <w:rFonts w:ascii="仿宋_GB2312" w:eastAsia="仿宋_GB2312" w:hint="eastAsia"/>
          <w:sz w:val="32"/>
          <w:szCs w:val="32"/>
        </w:rPr>
        <w:t>指在基本支出之外为完成特定行政任务和事业发展目标所发生的支出。</w:t>
      </w:r>
    </w:p>
    <w:p>
      <w:pPr>
        <w:spacing w:line="576" w:lineRule="exact"/>
        <w:ind w:firstLineChars="200" w:firstLine="640"/>
        <w:rPr>
          <w:rFonts w:ascii="仿宋_GB2312" w:eastAsia="仿宋_GB2312"/>
          <w:sz w:val="32"/>
          <w:szCs w:val="32"/>
        </w:rPr>
      </w:pPr>
      <w:r>
        <w:rPr>
          <w:rFonts w:ascii="楷体_GB2312" w:eastAsia="楷体_GB2312" w:hint="eastAsia"/>
          <w:sz w:val="32"/>
          <w:szCs w:val="32"/>
        </w:rPr>
        <w:t>十一、“三公”经费：</w:t>
      </w:r>
      <w:r>
        <w:rPr>
          <w:rFonts w:ascii="仿宋_GB2312" w:eastAsia="仿宋_GB2312" w:hint="eastAsia"/>
          <w:sz w:val="32"/>
          <w:szCs w:val="32"/>
        </w:rPr>
        <w:t>纳入部门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Chars="200" w:firstLine="640"/>
        <w:rPr>
          <w:rFonts w:ascii="仿宋_GB2312" w:eastAsia="仿宋_GB2312"/>
          <w:sz w:val="32"/>
          <w:szCs w:val="32"/>
        </w:rPr>
      </w:pPr>
      <w:r>
        <w:rPr>
          <w:rFonts w:ascii="楷体_GB2312" w:eastAsia="楷体_GB2312" w:hint="eastAsia"/>
          <w:sz w:val="32"/>
          <w:szCs w:val="32"/>
        </w:rPr>
        <w:t>十二、机关运行经费：</w:t>
      </w:r>
      <w:r>
        <w:rPr>
          <w:rFonts w:ascii="仿宋_GB2312" w:eastAsia="仿宋_GB2312" w:hint="eastAsia"/>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pPr>
        <w:spacing w:line="576" w:lineRule="exact"/>
        <w:ind w:firstLineChars="200" w:firstLine="640"/>
        <w:rPr>
          <w:rFonts w:ascii="黑体" w:eastAsia="黑体" w:cs="黑体" w:hAnsi="黑体"/>
          <w:sz w:val="32"/>
          <w:szCs w:val="32"/>
        </w:rPr>
        <w:sectPr>
          <w:footerReference w:type="default" r:id="rId4"/>
          <w:pgSz w:w="11906" w:h="16838"/>
          <w:pgMar w:top="2098" w:right="1474" w:bottom="1701" w:left="1588" w:header="720" w:footer="1418" w:gutter="0"/>
          <w:pgNumType w:start="1"/>
          <w:cols w:num="1" w:space="0"/>
          <w:docGrid w:type="lines" w:linePitch="312" w:charSpace="0"/>
        </w:sectPr>
      </w:pPr>
    </w:p>
    <w:p>
      <w:pPr>
        <w:widowControl/>
        <w:numPr>
          <w:ilvl w:val="0"/>
          <w:numId w:val="4"/>
        </w:numPr>
        <w:shd w:val="clear" w:color="auto" w:fill="FFFFFF"/>
        <w:suppressAutoHyphens/>
        <w:spacing w:line="560" w:lineRule="exact"/>
        <w:jc w:val="center"/>
        <w:outlineLvl w:val="0"/>
        <w:rPr>
          <w:rFonts w:ascii="方正小标宋简体" w:eastAsia="方正小标宋简体" w:cs="方正小标宋简体" w:hAnsi="方正小标宋简体"/>
          <w:color w:val="000000"/>
          <w:kern w:val="0"/>
          <w:sz w:val="44"/>
          <w:szCs w:val="44"/>
          <w:shd w:val="clear" w:color="auto" w:fill="FFFFFF"/>
        </w:rPr>
      </w:pPr>
      <w:bookmarkStart w:id="10" w:name="_Toc188545362"/>
      <w:bookmarkStart w:id="11" w:name="_Toc188545583"/>
      <w:r>
        <w:rPr>
          <w:rFonts w:ascii="方正小标宋简体" w:eastAsia="方正小标宋简体" w:cs="方正小标宋简体" w:hAnsi="方正小标宋简体" w:hint="eastAsia"/>
          <w:color w:val="000000"/>
          <w:kern w:val="0"/>
          <w:sz w:val="44"/>
          <w:szCs w:val="44"/>
          <w:shd w:val="clear" w:color="auto" w:fill="FFFFFF"/>
        </w:rPr>
        <w:t>广元市经济和信息化局</w:t>
      </w:r>
      <w:r>
        <w:rPr>
          <w:rFonts w:ascii="方正小标宋简体" w:eastAsia="方正小标宋简体" w:cs="方正小标宋简体" w:hAnsi="方正小标宋简体"/>
          <w:color w:val="000000"/>
          <w:kern w:val="0"/>
          <w:sz w:val="44"/>
          <w:szCs w:val="44"/>
          <w:shd w:val="clear" w:color="auto" w:fill="FFFFFF"/>
        </w:rPr>
        <w:t>2025</w:t>
      </w:r>
      <w:r>
        <w:rPr>
          <w:rFonts w:ascii="方正小标宋简体" w:eastAsia="方正小标宋简体" w:cs="方正小标宋简体" w:hAnsi="方正小标宋简体" w:hint="eastAsia"/>
          <w:color w:val="000000"/>
          <w:kern w:val="0"/>
          <w:sz w:val="44"/>
          <w:szCs w:val="44"/>
          <w:shd w:val="clear" w:color="auto" w:fill="FFFFFF"/>
        </w:rPr>
        <w:t>年部门预算表</w:t>
      </w:r>
      <w:bookmarkEnd w:id="10"/>
      <w:bookmarkEnd w:id="11"/>
    </w:p>
    <w:p>
      <w:pPr>
        <w:widowControl/>
        <w:shd w:val="clear" w:color="auto" w:fill="FFFFFF"/>
        <w:suppressAutoHyphens/>
        <w:spacing w:line="560" w:lineRule="exact"/>
        <w:jc w:val="center"/>
        <w:outlineLvl w:val="0"/>
        <w:rPr>
          <w:rFonts w:ascii="方正小标宋简体" w:eastAsia="方正小标宋简体" w:cs="方正小标宋简体" w:hAnsi="方正小标宋简体" w:hint="eastAsia"/>
          <w:color w:val="000000"/>
          <w:kern w:val="0"/>
          <w:sz w:val="44"/>
          <w:szCs w:val="44"/>
          <w:shd w:val="clear" w:color="auto" w:fill="FFFFFF"/>
        </w:rPr>
      </w:pPr>
    </w:p>
    <w:p>
      <w:pPr>
        <w:widowControl/>
        <w:shd w:val="clear" w:color="auto" w:fill="FFFFFF"/>
        <w:suppressAutoHyphens/>
        <w:spacing w:line="560" w:lineRule="exact"/>
        <w:jc w:val="center"/>
        <w:outlineLvl w:val="0"/>
        <w:rPr>
          <w:rFonts w:ascii="方正小标宋简体" w:eastAsia="方正小标宋简体" w:cs="方正小标宋简体" w:hAnsi="方正小标宋简体" w:hint="eastAsia"/>
          <w:color w:val="000000"/>
          <w:kern w:val="0"/>
          <w:sz w:val="44"/>
          <w:szCs w:val="44"/>
          <w:shd w:val="clear" w:color="auto" w:fill="FFFFFF"/>
        </w:rPr>
      </w:pPr>
    </w:p>
    <w:p>
      <w:pPr>
        <w:widowControl/>
        <w:shd w:val="clear" w:color="auto" w:fill="FFFFFF"/>
        <w:suppressAutoHyphens/>
        <w:spacing w:line="560" w:lineRule="exact"/>
        <w:jc w:val="center"/>
        <w:outlineLvl w:val="0"/>
        <w:rPr>
          <w:rFonts w:ascii="方正小标宋简体" w:eastAsia="方正小标宋简体" w:cs="方正小标宋简体" w:hAnsi="方正小标宋简体" w:hint="eastAsia"/>
          <w:color w:val="000000"/>
          <w:kern w:val="0"/>
          <w:sz w:val="44"/>
          <w:szCs w:val="44"/>
          <w:shd w:val="clear" w:color="auto" w:fill="FFFFFF"/>
        </w:rPr>
      </w:pPr>
    </w:p>
    <w:p>
      <w:pPr>
        <w:widowControl/>
        <w:shd w:val="clear" w:color="auto" w:fill="FFFFFF"/>
        <w:suppressAutoHyphens/>
        <w:spacing w:line="560" w:lineRule="exact"/>
        <w:jc w:val="center"/>
        <w:outlineLvl w:val="0"/>
        <w:rPr>
          <w:rFonts w:ascii="方正小标宋简体" w:eastAsia="方正小标宋简体" w:cs="方正小标宋简体" w:hAnsi="方正小标宋简体" w:hint="eastAsia"/>
          <w:color w:val="000000"/>
          <w:kern w:val="0"/>
          <w:sz w:val="44"/>
          <w:szCs w:val="44"/>
          <w:shd w:val="clear" w:color="auto" w:fill="FFFFFF"/>
        </w:rPr>
      </w:pPr>
    </w:p>
    <w:p>
      <w:pPr>
        <w:widowControl/>
        <w:shd w:val="clear" w:color="auto" w:fill="FFFFFF"/>
        <w:suppressAutoHyphens/>
        <w:spacing w:line="560" w:lineRule="exact"/>
        <w:jc w:val="center"/>
        <w:outlineLvl w:val="0"/>
        <w:rPr>
          <w:rFonts w:ascii="方正小标宋简体" w:eastAsia="方正小标宋简体" w:cs="方正小标宋简体" w:hAnsi="方正小标宋简体" w:hint="eastAsia"/>
          <w:color w:val="000000"/>
          <w:kern w:val="0"/>
          <w:sz w:val="44"/>
          <w:szCs w:val="44"/>
          <w:shd w:val="clear" w:color="auto" w:fill="FFFFFF"/>
        </w:rPr>
      </w:pPr>
    </w:p>
    <w:p>
      <w:pPr>
        <w:widowControl/>
        <w:shd w:val="clear" w:color="auto" w:fill="FFFFFF"/>
        <w:suppressAutoHyphens/>
        <w:spacing w:line="560" w:lineRule="exact"/>
        <w:jc w:val="center"/>
        <w:outlineLvl w:val="0"/>
        <w:rPr>
          <w:rFonts w:ascii="方正小标宋简体" w:eastAsia="方正小标宋简体" w:cs="方正小标宋简体" w:hAnsi="方正小标宋简体" w:hint="eastAsia"/>
          <w:color w:val="000000"/>
          <w:kern w:val="0"/>
          <w:sz w:val="44"/>
          <w:szCs w:val="44"/>
          <w:shd w:val="clear" w:color="auto" w:fill="FFFFFF"/>
        </w:rPr>
      </w:pPr>
    </w:p>
    <w:p>
      <w:pPr>
        <w:widowControl/>
        <w:shd w:val="clear" w:color="auto" w:fill="FFFFFF"/>
        <w:suppressAutoHyphens/>
        <w:spacing w:line="560" w:lineRule="exact"/>
        <w:jc w:val="center"/>
        <w:outlineLvl w:val="0"/>
        <w:rPr>
          <w:rFonts w:ascii="方正小标宋简体" w:eastAsia="方正小标宋简体" w:cs="方正小标宋简体" w:hAnsi="方正小标宋简体" w:hint="eastAsia"/>
          <w:color w:val="000000"/>
          <w:kern w:val="0"/>
          <w:sz w:val="44"/>
          <w:szCs w:val="44"/>
          <w:shd w:val="clear" w:color="auto" w:fill="FFFFFF"/>
        </w:rPr>
      </w:pPr>
    </w:p>
    <w:p>
      <w:pPr>
        <w:widowControl/>
        <w:shd w:val="clear" w:color="auto" w:fill="FFFFFF"/>
        <w:suppressAutoHyphens/>
        <w:spacing w:line="560" w:lineRule="exact"/>
        <w:jc w:val="center"/>
        <w:outlineLvl w:val="0"/>
        <w:rPr>
          <w:rFonts w:ascii="方正小标宋简体" w:eastAsia="方正小标宋简体" w:cs="方正小标宋简体" w:hAnsi="方正小标宋简体" w:hint="eastAsia"/>
          <w:color w:val="000000"/>
          <w:kern w:val="0"/>
          <w:sz w:val="44"/>
          <w:szCs w:val="44"/>
          <w:shd w:val="clear" w:color="auto" w:fill="FFFFFF"/>
        </w:rPr>
      </w:pPr>
    </w:p>
    <w:p>
      <w:pPr>
        <w:widowControl/>
        <w:shd w:val="clear" w:color="auto" w:fill="FFFFFF"/>
        <w:suppressAutoHyphens/>
        <w:spacing w:line="560" w:lineRule="exact"/>
        <w:jc w:val="center"/>
        <w:outlineLvl w:val="0"/>
        <w:rPr>
          <w:rFonts w:ascii="方正小标宋简体" w:eastAsia="方正小标宋简体" w:cs="方正小标宋简体" w:hAnsi="方正小标宋简体" w:hint="eastAsia"/>
          <w:color w:val="000000"/>
          <w:kern w:val="0"/>
          <w:sz w:val="44"/>
          <w:szCs w:val="44"/>
          <w:shd w:val="clear" w:color="auto" w:fill="FFFFFF"/>
        </w:rPr>
      </w:pPr>
    </w:p>
    <w:p>
      <w:pPr>
        <w:widowControl/>
        <w:shd w:val="clear" w:color="auto" w:fill="FFFFFF"/>
        <w:suppressAutoHyphens/>
        <w:spacing w:line="560" w:lineRule="exact"/>
        <w:jc w:val="center"/>
        <w:outlineLvl w:val="0"/>
        <w:rPr>
          <w:rFonts w:ascii="方正小标宋简体" w:eastAsia="方正小标宋简体" w:cs="方正小标宋简体" w:hAnsi="方正小标宋简体" w:hint="eastAsia"/>
          <w:color w:val="000000"/>
          <w:kern w:val="0"/>
          <w:sz w:val="44"/>
          <w:szCs w:val="44"/>
          <w:shd w:val="clear" w:color="auto" w:fill="FFFFFF"/>
        </w:rPr>
      </w:pPr>
    </w:p>
    <w:p>
      <w:pPr>
        <w:widowControl/>
        <w:shd w:val="clear" w:color="auto" w:fill="FFFFFF"/>
        <w:suppressAutoHyphens/>
        <w:spacing w:line="560" w:lineRule="exact"/>
        <w:jc w:val="center"/>
        <w:outlineLvl w:val="0"/>
        <w:rPr>
          <w:rFonts w:ascii="方正小标宋简体" w:eastAsia="方正小标宋简体" w:cs="方正小标宋简体" w:hAnsi="方正小标宋简体" w:hint="eastAsia"/>
          <w:color w:val="000000"/>
          <w:kern w:val="0"/>
          <w:sz w:val="44"/>
          <w:szCs w:val="44"/>
          <w:shd w:val="clear" w:color="auto" w:fill="FFFFFF"/>
        </w:rPr>
      </w:pPr>
    </w:p>
    <w:p>
      <w:pPr>
        <w:widowControl/>
        <w:shd w:val="clear" w:color="auto" w:fill="FFFFFF"/>
        <w:suppressAutoHyphens/>
        <w:spacing w:line="560" w:lineRule="exact"/>
        <w:jc w:val="center"/>
        <w:outlineLvl w:val="0"/>
        <w:rPr>
          <w:rFonts w:ascii="方正小标宋简体" w:eastAsia="方正小标宋简体" w:cs="方正小标宋简体" w:hAnsi="方正小标宋简体" w:hint="eastAsia"/>
          <w:color w:val="000000"/>
          <w:kern w:val="0"/>
          <w:sz w:val="44"/>
          <w:szCs w:val="44"/>
          <w:shd w:val="clear" w:color="auto" w:fill="FFFFFF"/>
        </w:rPr>
      </w:pPr>
    </w:p>
    <w:p>
      <w:pPr>
        <w:widowControl/>
        <w:shd w:val="clear" w:color="auto" w:fill="FFFFFF"/>
        <w:suppressAutoHyphens/>
        <w:spacing w:line="560" w:lineRule="exact"/>
        <w:jc w:val="center"/>
        <w:outlineLvl w:val="0"/>
        <w:rPr>
          <w:rFonts w:ascii="方正小标宋简体" w:eastAsia="方正小标宋简体" w:cs="方正小标宋简体" w:hAnsi="方正小标宋简体" w:hint="eastAsia"/>
          <w:color w:val="000000"/>
          <w:kern w:val="0"/>
          <w:sz w:val="44"/>
          <w:szCs w:val="44"/>
          <w:shd w:val="clear" w:color="auto" w:fill="FFFFFF"/>
        </w:rPr>
      </w:pPr>
    </w:p>
    <w:p>
      <w:pPr>
        <w:widowControl/>
        <w:shd w:val="clear" w:color="auto" w:fill="FFFFFF"/>
        <w:suppressAutoHyphens/>
        <w:spacing w:line="560" w:lineRule="exact"/>
        <w:jc w:val="center"/>
        <w:outlineLvl w:val="0"/>
        <w:rPr>
          <w:rFonts w:ascii="方正小标宋简体" w:eastAsia="方正小标宋简体" w:cs="方正小标宋简体" w:hAnsi="方正小标宋简体" w:hint="eastAsia"/>
          <w:color w:val="000000"/>
          <w:kern w:val="0"/>
          <w:sz w:val="44"/>
          <w:szCs w:val="44"/>
          <w:shd w:val="clear" w:color="auto" w:fill="FFFFFF"/>
        </w:rPr>
      </w:pPr>
    </w:p>
    <w:p>
      <w:pPr>
        <w:widowControl/>
        <w:shd w:val="clear" w:color="auto" w:fill="FFFFFF"/>
        <w:suppressAutoHyphens/>
        <w:spacing w:line="560" w:lineRule="exact"/>
        <w:jc w:val="center"/>
        <w:outlineLvl w:val="0"/>
        <w:rPr>
          <w:rFonts w:ascii="方正小标宋简体" w:eastAsia="方正小标宋简体" w:cs="方正小标宋简体" w:hAnsi="方正小标宋简体" w:hint="eastAsia"/>
          <w:color w:val="000000"/>
          <w:kern w:val="0"/>
          <w:sz w:val="44"/>
          <w:szCs w:val="44"/>
          <w:shd w:val="clear" w:color="auto" w:fill="FFFFFF"/>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r>
        <w:rPr>
          <w:rFonts w:ascii="黑体" w:eastAsia="黑体" w:cs="方正小标宋简体" w:hAnsi="黑体" w:hint="eastAsia"/>
          <w:color w:val="000000"/>
          <w:kern w:val="0"/>
          <w:sz w:val="32"/>
          <w:szCs w:val="32"/>
          <w:shd w:val="clear" w:color="auto" w:fill="FFFFFF"/>
        </w:rPr>
        <w:t>表</w:t>
      </w:r>
      <w:r>
        <w:rPr>
          <w:rFonts w:ascii="黑体" w:eastAsia="黑体" w:cs="方正小标宋简体" w:hAnsi="黑体"/>
          <w:color w:val="000000"/>
          <w:kern w:val="0"/>
          <w:sz w:val="32"/>
          <w:szCs w:val="32"/>
          <w:shd w:val="clear" w:color="auto" w:fill="FFFFFF"/>
        </w:rPr>
        <w:t>1</w:t>
      </w:r>
    </w:p>
    <w:p>
      <w:pPr>
        <w:adjustRightInd w:val="0"/>
        <w:snapToGrid w:val="0"/>
        <w:jc w:val="center"/>
        <w:outlineLvl w:val="0"/>
        <w:rPr>
          <w:rFonts w:ascii="方正小标宋简体" w:eastAsia="方正小标宋简体" w:cs="方正小标宋简体" w:hAnsi="方正小标宋简体"/>
          <w:color w:val="000000"/>
          <w:kern w:val="0"/>
          <w:sz w:val="44"/>
          <w:szCs w:val="44"/>
          <w:shd w:val="clear" w:color="auto" w:fill="FFFFFF"/>
        </w:rPr>
      </w:pPr>
      <w:bookmarkStart w:id="12" w:name="_Toc188545363"/>
      <w:bookmarkStart w:id="13" w:name="_Toc188545584"/>
      <w:r>
        <w:rPr>
          <w:rFonts w:ascii="方正小标宋简体" w:eastAsia="方正小标宋简体" w:cs="方正小标宋简体" w:hAnsi="方正小标宋简体" w:hint="eastAsia"/>
          <w:color w:val="000000"/>
          <w:kern w:val="0"/>
          <w:sz w:val="44"/>
          <w:szCs w:val="44"/>
          <w:shd w:val="clear" w:color="auto" w:fill="FFFFFF"/>
        </w:rPr>
        <w:t>部门收支总表</w:t>
      </w:r>
      <w:bookmarkEnd w:id="12"/>
      <w:bookmarkEnd w:id="13"/>
    </w:p>
    <w:p>
      <w:pPr>
        <w:adjustRightInd w:val="0"/>
        <w:snapToGrid w:val="0"/>
        <w:rPr>
          <w:rFonts w:ascii="仿宋_GB2312" w:eastAsia="仿宋_GB2312" w:cs="仿宋_GB2312" w:hAnsi="仿宋_GB2312"/>
          <w:sz w:val="28"/>
          <w:szCs w:val="28"/>
        </w:rPr>
      </w:pPr>
      <w:r>
        <w:rPr>
          <w:rFonts w:ascii="仿宋_GB2312" w:eastAsia="仿宋_GB2312" w:cs="仿宋_GB2312" w:hAnsi="仿宋_GB2312" w:hint="eastAsia"/>
          <w:sz w:val="28"/>
          <w:szCs w:val="28"/>
        </w:rPr>
        <w:t>部门：</w:t>
      </w:r>
      <w:r>
        <w:rPr>
          <w:rFonts w:ascii="仿宋_GB2312" w:eastAsia="仿宋_GB2312" w:cs="仿宋_GB2312" w:hAnsi="仿宋_GB2312"/>
          <w:sz w:val="28"/>
          <w:szCs w:val="28"/>
        </w:rPr>
        <w:tab/>
        <w:tab/>
        <w:t xml:space="preserve">                                                                    </w:t>
        <w:tab/>
      </w:r>
      <w:r>
        <w:rPr>
          <w:rFonts w:ascii="仿宋_GB2312" w:eastAsia="仿宋_GB2312" w:cs="仿宋_GB2312" w:hAnsi="仿宋_GB2312" w:hint="eastAsia"/>
          <w:sz w:val="28"/>
          <w:szCs w:val="28"/>
        </w:rPr>
        <w:t>金额单位：万元</w:t>
      </w:r>
    </w:p>
    <w:tbl>
      <w:tblPr>
        <w:jc w:val="left"/>
        <w:tblInd w:w="95" w:type="dxa"/>
        <w:tblW w:w="13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833"/>
        <w:gridCol w:w="1760"/>
        <w:gridCol w:w="5457"/>
        <w:gridCol w:w="1760"/>
      </w:tblGrid>
      <w:tr>
        <w:trPr>
          <w:trHeight w:val="429"/>
          <w:tblHeader/>
        </w:trPr>
        <w:tc>
          <w:tcPr>
            <w:tcW w:w="6593" w:type="dxa"/>
            <w:gridSpan w:val="2"/>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收</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入</w:t>
            </w:r>
          </w:p>
        </w:tc>
        <w:tc>
          <w:tcPr>
            <w:tcW w:w="7217" w:type="dxa"/>
            <w:gridSpan w:val="2"/>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支</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出</w:t>
            </w:r>
          </w:p>
        </w:tc>
      </w:tr>
      <w:tr>
        <w:trPr>
          <w:trHeight w:val="429"/>
          <w:tblHeader/>
        </w:trPr>
        <w:tc>
          <w:tcPr>
            <w:tcW w:w="4833" w:type="dxa"/>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目</w:t>
            </w:r>
          </w:p>
        </w:tc>
        <w:tc>
          <w:tcPr>
            <w:tcW w:w="176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预算数</w:t>
            </w:r>
          </w:p>
        </w:tc>
        <w:tc>
          <w:tcPr>
            <w:tcW w:w="5457"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目</w:t>
            </w:r>
          </w:p>
        </w:tc>
        <w:tc>
          <w:tcPr>
            <w:tcW w:w="1760" w:type="dxa"/>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预算数</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一、一般公共预算拨款收入</w:t>
            </w:r>
            <w:r>
              <w:rPr>
                <w:rFonts w:ascii="Times New Roman" w:hAnsi="Times New Roman"/>
                <w:color w:val="000000"/>
                <w:kern w:val="0"/>
                <w:sz w:val="22"/>
                <w:szCs w:val="22"/>
              </w:rPr>
              <w:t xml:space="preserve">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2,743.50</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一、一般公共服务支出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2,347.32</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二、政府性基金预算拨款收入</w:t>
            </w:r>
            <w:r>
              <w:rPr>
                <w:rFonts w:ascii="Times New Roman" w:hAnsi="Times New Roman"/>
                <w:color w:val="000000"/>
                <w:kern w:val="0"/>
                <w:sz w:val="22"/>
                <w:szCs w:val="22"/>
              </w:rPr>
              <w:t xml:space="preserve">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二、外交支出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三、国有资本经营预算拨款收入</w:t>
            </w:r>
            <w:r>
              <w:rPr>
                <w:rFonts w:ascii="Times New Roman" w:hAnsi="Times New Roman"/>
                <w:color w:val="000000"/>
                <w:kern w:val="0"/>
                <w:sz w:val="22"/>
                <w:szCs w:val="22"/>
              </w:rPr>
              <w:t xml:space="preserve">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三、国防支出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四、事业收入</w:t>
            </w:r>
            <w:r>
              <w:rPr>
                <w:rFonts w:ascii="Times New Roman" w:hAnsi="Times New Roman"/>
                <w:color w:val="000000"/>
                <w:kern w:val="0"/>
                <w:sz w:val="22"/>
                <w:szCs w:val="22"/>
              </w:rPr>
              <w:t xml:space="preserve">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四、公共安全支出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五、事业单位经营收入</w:t>
            </w:r>
            <w:r>
              <w:rPr>
                <w:rFonts w:ascii="Times New Roman" w:hAnsi="Times New Roman"/>
                <w:color w:val="000000"/>
                <w:kern w:val="0"/>
                <w:sz w:val="22"/>
                <w:szCs w:val="22"/>
              </w:rPr>
              <w:t xml:space="preserve">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五、教育支出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六、其他收入</w:t>
            </w:r>
            <w:r>
              <w:rPr>
                <w:rFonts w:ascii="Times New Roman" w:hAnsi="Times New Roman"/>
                <w:color w:val="000000"/>
                <w:kern w:val="0"/>
                <w:sz w:val="22"/>
                <w:szCs w:val="22"/>
              </w:rPr>
              <w:t xml:space="preserve">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57.11</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六、科学技术支出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七、文化旅游体育与传媒支出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八、社会保障和就业支出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207.17</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九、社会保险基金支出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十、卫生健康支出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65.76</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十一、节能环保支出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9.02</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十二、城乡社区支出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十三、农林水支出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十四、交通运输支出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十五、资源勘探工业信息等支出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十六、商业服务业等支出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十七、金融支出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十八、援助其他地区支出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十九、自然资源海洋气象等支出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二十、住房保障支出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171.33</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二十一、粮油物资储备支出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二十二、国有资本经营预算支出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二十三、灾害防治及应急管理支出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二十四、其他支出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二十五、债务还本支出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二十六、债务付息支出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二十七、债务发行费用支出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二十八、抗疫特别国债安排的支出</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vAlign w:val="center"/>
          </w:tcPr>
          <w:p>
            <w:pPr>
              <w:widowControl/>
              <w:suppressAutoHyphens w:val="0"/>
              <w:jc w:val="center"/>
              <w:rPr>
                <w:rFonts w:ascii="宋体" w:cs="宋体"/>
                <w:b/>
                <w:bCs/>
                <w:color w:val="000000"/>
                <w:kern w:val="0"/>
                <w:sz w:val="22"/>
                <w:szCs w:val="22"/>
              </w:rPr>
            </w:pPr>
            <w:r>
              <w:rPr>
                <w:rFonts w:ascii="Times New Roman" w:hAnsi="Times New Roman" w:hint="eastAsia"/>
                <w:b/>
                <w:bCs/>
                <w:color w:val="000000"/>
                <w:kern w:val="0"/>
                <w:sz w:val="22"/>
                <w:szCs w:val="22"/>
              </w:rPr>
              <w:t>本</w:t>
            </w:r>
            <w:r>
              <w:rPr>
                <w:rFonts w:ascii="Times New Roman" w:hAnsi="Times New Roman"/>
                <w:b/>
                <w:bCs/>
                <w:color w:val="000000"/>
                <w:kern w:val="0"/>
                <w:sz w:val="22"/>
                <w:szCs w:val="22"/>
              </w:rPr>
              <w:t xml:space="preserve"> </w:t>
            </w:r>
            <w:r>
              <w:rPr>
                <w:rFonts w:ascii="Times New Roman" w:hAnsi="Times New Roman" w:hint="eastAsia"/>
                <w:b/>
                <w:bCs/>
                <w:color w:val="000000"/>
                <w:kern w:val="0"/>
                <w:sz w:val="22"/>
                <w:szCs w:val="22"/>
              </w:rPr>
              <w:t>年</w:t>
            </w:r>
            <w:r>
              <w:rPr>
                <w:rFonts w:ascii="Times New Roman" w:hAnsi="Times New Roman"/>
                <w:b/>
                <w:bCs/>
                <w:color w:val="000000"/>
                <w:kern w:val="0"/>
                <w:sz w:val="22"/>
                <w:szCs w:val="22"/>
              </w:rPr>
              <w:t xml:space="preserve"> </w:t>
            </w:r>
            <w:r>
              <w:rPr>
                <w:rFonts w:ascii="Times New Roman" w:hAnsi="Times New Roman" w:hint="eastAsia"/>
                <w:b/>
                <w:bCs/>
                <w:color w:val="000000"/>
                <w:kern w:val="0"/>
                <w:sz w:val="22"/>
                <w:szCs w:val="22"/>
              </w:rPr>
              <w:t>收</w:t>
            </w:r>
            <w:r>
              <w:rPr>
                <w:rFonts w:ascii="Times New Roman" w:hAnsi="Times New Roman"/>
                <w:b/>
                <w:bCs/>
                <w:color w:val="000000"/>
                <w:kern w:val="0"/>
                <w:sz w:val="22"/>
                <w:szCs w:val="22"/>
              </w:rPr>
              <w:t xml:space="preserve"> </w:t>
            </w:r>
            <w:r>
              <w:rPr>
                <w:rFonts w:ascii="Times New Roman" w:hAnsi="Times New Roman" w:hint="eastAsia"/>
                <w:b/>
                <w:bCs/>
                <w:color w:val="000000"/>
                <w:kern w:val="0"/>
                <w:sz w:val="22"/>
                <w:szCs w:val="22"/>
              </w:rPr>
              <w:t>入</w:t>
            </w:r>
            <w:r>
              <w:rPr>
                <w:rFonts w:ascii="Times New Roman" w:hAnsi="Times New Roman"/>
                <w:b/>
                <w:bCs/>
                <w:color w:val="000000"/>
                <w:kern w:val="0"/>
                <w:sz w:val="22"/>
                <w:szCs w:val="22"/>
              </w:rPr>
              <w:t xml:space="preserve"> </w:t>
            </w:r>
            <w:r>
              <w:rPr>
                <w:rFonts w:ascii="Times New Roman" w:hAnsi="Times New Roman" w:hint="eastAsia"/>
                <w:b/>
                <w:bCs/>
                <w:color w:val="000000"/>
                <w:kern w:val="0"/>
                <w:sz w:val="22"/>
                <w:szCs w:val="22"/>
              </w:rPr>
              <w:t>合</w:t>
            </w:r>
            <w:r>
              <w:rPr>
                <w:rFonts w:ascii="Times New Roman" w:hAnsi="Times New Roman"/>
                <w:b/>
                <w:bCs/>
                <w:color w:val="000000"/>
                <w:kern w:val="0"/>
                <w:sz w:val="22"/>
                <w:szCs w:val="22"/>
              </w:rPr>
              <w:t xml:space="preserve"> </w:t>
            </w:r>
            <w:r>
              <w:rPr>
                <w:rFonts w:ascii="Times New Roman" w:hAnsi="Times New Roman" w:hint="eastAsia"/>
                <w:b/>
                <w:bCs/>
                <w:color w:val="000000"/>
                <w:kern w:val="0"/>
                <w:sz w:val="22"/>
                <w:szCs w:val="22"/>
              </w:rPr>
              <w:t>计</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2,800.61</w:t>
            </w:r>
          </w:p>
        </w:tc>
        <w:tc>
          <w:tcPr>
            <w:tcW w:w="5457"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b/>
                <w:bCs/>
                <w:color w:val="000000"/>
                <w:kern w:val="0"/>
                <w:sz w:val="22"/>
                <w:szCs w:val="22"/>
              </w:rPr>
            </w:pPr>
            <w:r>
              <w:rPr>
                <w:rFonts w:ascii="Times New Roman" w:hAnsi="Times New Roman" w:hint="eastAsia"/>
                <w:b/>
                <w:bCs/>
                <w:color w:val="000000"/>
                <w:kern w:val="0"/>
                <w:sz w:val="22"/>
                <w:szCs w:val="22"/>
              </w:rPr>
              <w:t>本</w:t>
            </w:r>
            <w:r>
              <w:rPr>
                <w:rFonts w:ascii="Times New Roman" w:hAnsi="Times New Roman"/>
                <w:b/>
                <w:bCs/>
                <w:color w:val="000000"/>
                <w:kern w:val="0"/>
                <w:sz w:val="22"/>
                <w:szCs w:val="22"/>
              </w:rPr>
              <w:t xml:space="preserve"> </w:t>
            </w:r>
            <w:r>
              <w:rPr>
                <w:rFonts w:ascii="Times New Roman" w:hAnsi="Times New Roman" w:hint="eastAsia"/>
                <w:b/>
                <w:bCs/>
                <w:color w:val="000000"/>
                <w:kern w:val="0"/>
                <w:sz w:val="22"/>
                <w:szCs w:val="22"/>
              </w:rPr>
              <w:t>年</w:t>
            </w:r>
            <w:r>
              <w:rPr>
                <w:rFonts w:ascii="Times New Roman" w:hAnsi="Times New Roman"/>
                <w:b/>
                <w:bCs/>
                <w:color w:val="000000"/>
                <w:kern w:val="0"/>
                <w:sz w:val="22"/>
                <w:szCs w:val="22"/>
              </w:rPr>
              <w:t xml:space="preserve"> </w:t>
            </w:r>
            <w:r>
              <w:rPr>
                <w:rFonts w:ascii="Times New Roman" w:hAnsi="Times New Roman" w:hint="eastAsia"/>
                <w:b/>
                <w:bCs/>
                <w:color w:val="000000"/>
                <w:kern w:val="0"/>
                <w:sz w:val="22"/>
                <w:szCs w:val="22"/>
              </w:rPr>
              <w:t>支</w:t>
            </w:r>
            <w:r>
              <w:rPr>
                <w:rFonts w:ascii="Times New Roman" w:hAnsi="Times New Roman"/>
                <w:b/>
                <w:bCs/>
                <w:color w:val="000000"/>
                <w:kern w:val="0"/>
                <w:sz w:val="22"/>
                <w:szCs w:val="22"/>
              </w:rPr>
              <w:t xml:space="preserve"> </w:t>
            </w:r>
            <w:r>
              <w:rPr>
                <w:rFonts w:ascii="Times New Roman" w:hAnsi="Times New Roman" w:hint="eastAsia"/>
                <w:b/>
                <w:bCs/>
                <w:color w:val="000000"/>
                <w:kern w:val="0"/>
                <w:sz w:val="22"/>
                <w:szCs w:val="22"/>
              </w:rPr>
              <w:t>出</w:t>
            </w:r>
            <w:r>
              <w:rPr>
                <w:rFonts w:ascii="Times New Roman" w:hAnsi="Times New Roman"/>
                <w:b/>
                <w:bCs/>
                <w:color w:val="000000"/>
                <w:kern w:val="0"/>
                <w:sz w:val="22"/>
                <w:szCs w:val="22"/>
              </w:rPr>
              <w:t xml:space="preserve"> </w:t>
            </w:r>
            <w:r>
              <w:rPr>
                <w:rFonts w:ascii="Times New Roman" w:hAnsi="Times New Roman" w:hint="eastAsia"/>
                <w:b/>
                <w:bCs/>
                <w:color w:val="000000"/>
                <w:kern w:val="0"/>
                <w:sz w:val="22"/>
                <w:szCs w:val="22"/>
              </w:rPr>
              <w:t>合</w:t>
            </w:r>
            <w:r>
              <w:rPr>
                <w:rFonts w:ascii="Times New Roman" w:hAnsi="Times New Roman"/>
                <w:b/>
                <w:bCs/>
                <w:color w:val="000000"/>
                <w:kern w:val="0"/>
                <w:sz w:val="22"/>
                <w:szCs w:val="22"/>
              </w:rPr>
              <w:t xml:space="preserve"> </w:t>
            </w:r>
            <w:r>
              <w:rPr>
                <w:rFonts w:ascii="Times New Roman" w:hAnsi="Times New Roman" w:hint="eastAsia"/>
                <w:b/>
                <w:bCs/>
                <w:color w:val="000000"/>
                <w:kern w:val="0"/>
                <w:sz w:val="22"/>
                <w:szCs w:val="22"/>
              </w:rPr>
              <w:t>计</w:t>
            </w:r>
          </w:p>
        </w:tc>
        <w:tc>
          <w:tcPr>
            <w:tcW w:w="1760" w:type="dxa"/>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2,800.61</w:t>
            </w:r>
          </w:p>
        </w:tc>
      </w:tr>
      <w:tr>
        <w:trPr>
          <w:trHeight w:val="399"/>
        </w:trPr>
        <w:tc>
          <w:tcPr>
            <w:tcW w:w="4833" w:type="dxa"/>
            <w:noWrap/>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七、上年结转</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5457" w:type="dxa"/>
            <w:tcBorders>
              <w:top w:val="single" w:sz="4" w:space="0" w:color="auto"/>
              <w:left w:val="single" w:sz="4" w:space="0" w:color="auto"/>
              <w:right w:val="single" w:sz="4" w:space="0" w:color="auto"/>
            </w:tcBorders>
            <w:noWrap/>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4833" w:type="dxa"/>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收</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入</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总</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计</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2,800.61</w:t>
            </w:r>
          </w:p>
        </w:tc>
        <w:tc>
          <w:tcPr>
            <w:tcW w:w="5457"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支</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出</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总</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计</w:t>
            </w:r>
          </w:p>
        </w:tc>
        <w:tc>
          <w:tcPr>
            <w:tcW w:w="1760" w:type="dxa"/>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2,800.61</w:t>
            </w:r>
          </w:p>
        </w:tc>
      </w:tr>
    </w:tbl>
    <w:p>
      <w:pPr>
        <w:spacing w:line="576" w:lineRule="exact"/>
        <w:rPr>
          <w:rFonts w:ascii="仿宋_GB2312" w:eastAsia="仿宋_GB2312" w:cs="仿宋_GB2312" w:hAnsi="仿宋_GB2312"/>
          <w:sz w:val="32"/>
          <w:szCs w:val="32"/>
        </w:rPr>
      </w:pPr>
      <w:r>
        <w:rPr>
          <w:rFonts w:ascii="仿宋_GB2312" w:eastAsia="仿宋_GB2312" w:cs="仿宋_GB2312" w:hAnsi="仿宋_GB2312"/>
          <w:sz w:val="32"/>
          <w:szCs w:val="32"/>
        </w:rPr>
        <w:t xml:space="preserve"> </w:t>
      </w: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r>
        <w:rPr>
          <w:rFonts w:ascii="黑体" w:eastAsia="黑体" w:cs="方正小标宋简体" w:hAnsi="黑体" w:hint="eastAsia"/>
          <w:color w:val="000000"/>
          <w:kern w:val="0"/>
          <w:sz w:val="32"/>
          <w:szCs w:val="32"/>
          <w:shd w:val="clear" w:color="auto" w:fill="FFFFFF"/>
        </w:rPr>
        <w:t>表</w:t>
      </w:r>
      <w:r>
        <w:rPr>
          <w:rFonts w:ascii="黑体" w:eastAsia="黑体" w:cs="方正小标宋简体" w:hAnsi="黑体"/>
          <w:color w:val="000000"/>
          <w:kern w:val="0"/>
          <w:sz w:val="32"/>
          <w:szCs w:val="32"/>
          <w:shd w:val="clear" w:color="auto" w:fill="FFFFFF"/>
        </w:rPr>
        <w:t>2</w:t>
      </w:r>
    </w:p>
    <w:p>
      <w:pPr>
        <w:adjustRightInd w:val="0"/>
        <w:snapToGrid w:val="0"/>
        <w:jc w:val="center"/>
        <w:outlineLvl w:val="0"/>
        <w:rPr>
          <w:rFonts w:ascii="方正小标宋简体" w:eastAsia="方正小标宋简体" w:cs="方正小标宋简体" w:hAnsi="方正小标宋简体"/>
          <w:color w:val="000000"/>
          <w:kern w:val="0"/>
          <w:sz w:val="44"/>
          <w:szCs w:val="44"/>
          <w:shd w:val="clear" w:color="auto" w:fill="FFFFFF"/>
        </w:rPr>
      </w:pPr>
      <w:bookmarkStart w:id="14" w:name="_Toc188545585"/>
      <w:bookmarkStart w:id="15" w:name="_Toc188545364"/>
      <w:r>
        <w:rPr>
          <w:rFonts w:ascii="方正小标宋简体" w:eastAsia="方正小标宋简体" w:cs="方正小标宋简体" w:hAnsi="方正小标宋简体" w:hint="eastAsia"/>
          <w:color w:val="000000"/>
          <w:kern w:val="0"/>
          <w:sz w:val="44"/>
          <w:szCs w:val="44"/>
          <w:shd w:val="clear" w:color="auto" w:fill="FFFFFF"/>
        </w:rPr>
        <w:t>部门收入总表</w:t>
      </w:r>
      <w:bookmarkEnd w:id="14"/>
      <w:bookmarkEnd w:id="15"/>
    </w:p>
    <w:p>
      <w:pPr>
        <w:adjustRightInd w:val="0"/>
        <w:snapToGrid w:val="0"/>
        <w:spacing w:beforeLines="50" w:before="156" w:afterLines="20" w:after="62"/>
        <w:rPr>
          <w:rFonts w:ascii="仿宋_GB2312" w:eastAsia="仿宋_GB2312" w:cs="仿宋_GB2312" w:hAnsi="仿宋_GB2312"/>
          <w:sz w:val="28"/>
          <w:szCs w:val="28"/>
        </w:rPr>
      </w:pPr>
      <w:r>
        <w:rPr>
          <w:rFonts w:ascii="仿宋_GB2312" w:eastAsia="仿宋_GB2312" w:cs="仿宋_GB2312" w:hAnsi="仿宋_GB2312" w:hint="eastAsia"/>
          <w:sz w:val="28"/>
          <w:szCs w:val="28"/>
        </w:rPr>
        <w:t>部门：</w:t>
      </w:r>
      <w:r>
        <w:rPr>
          <w:rFonts w:ascii="仿宋_GB2312" w:eastAsia="仿宋_GB2312" w:cs="仿宋_GB2312" w:hAnsi="仿宋_GB2312"/>
          <w:sz w:val="28"/>
          <w:szCs w:val="28"/>
        </w:rPr>
        <w:tab/>
        <w:tab/>
        <w:t xml:space="preserve">                                                                      </w:t>
        <w:tab/>
      </w:r>
      <w:r>
        <w:rPr>
          <w:rFonts w:ascii="仿宋_GB2312" w:eastAsia="仿宋_GB2312" w:cs="仿宋_GB2312" w:hAnsi="仿宋_GB2312" w:hint="eastAsia"/>
          <w:sz w:val="28"/>
          <w:szCs w:val="28"/>
        </w:rPr>
        <w:t>金额单位：万元</w:t>
      </w:r>
    </w:p>
    <w:tbl>
      <w:tblPr>
        <w:jc w:val="center"/>
        <w:tblW w:w="14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55"/>
        <w:gridCol w:w="2506"/>
        <w:gridCol w:w="1103"/>
        <w:gridCol w:w="976"/>
        <w:gridCol w:w="1103"/>
        <w:gridCol w:w="976"/>
        <w:gridCol w:w="976"/>
        <w:gridCol w:w="976"/>
        <w:gridCol w:w="976"/>
        <w:gridCol w:w="976"/>
        <w:gridCol w:w="976"/>
        <w:gridCol w:w="976"/>
        <w:gridCol w:w="976"/>
      </w:tblGrid>
      <w:tr>
        <w:trPr>
          <w:trHeight w:val="771"/>
        </w:trPr>
        <w:tc>
          <w:tcPr>
            <w:tcW w:w="3461" w:type="dxa"/>
            <w:gridSpan w:val="2"/>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目</w:t>
            </w:r>
          </w:p>
        </w:tc>
        <w:tc>
          <w:tcPr>
            <w:tcW w:w="1103" w:type="dxa"/>
            <w:vMerge w:val="restart"/>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合计</w:t>
            </w:r>
          </w:p>
        </w:tc>
        <w:tc>
          <w:tcPr>
            <w:tcW w:w="976" w:type="dxa"/>
            <w:vMerge w:val="restart"/>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上年</w:t>
            </w:r>
          </w:p>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结转</w:t>
            </w:r>
          </w:p>
        </w:tc>
        <w:tc>
          <w:tcPr>
            <w:tcW w:w="1103" w:type="dxa"/>
            <w:vMerge w:val="restart"/>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一般公共预算拨款收入</w:t>
            </w:r>
          </w:p>
        </w:tc>
        <w:tc>
          <w:tcPr>
            <w:tcW w:w="976" w:type="dxa"/>
            <w:vMerge w:val="restart"/>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政府性基金预算拨款收入</w:t>
            </w:r>
          </w:p>
        </w:tc>
        <w:tc>
          <w:tcPr>
            <w:tcW w:w="976" w:type="dxa"/>
            <w:vMerge w:val="restart"/>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国有资本经营预算拨款收入</w:t>
            </w:r>
          </w:p>
        </w:tc>
        <w:tc>
          <w:tcPr>
            <w:tcW w:w="976" w:type="dxa"/>
            <w:vMerge w:val="restart"/>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事业</w:t>
            </w:r>
          </w:p>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收入</w:t>
            </w:r>
          </w:p>
        </w:tc>
        <w:tc>
          <w:tcPr>
            <w:tcW w:w="976" w:type="dxa"/>
            <w:vMerge w:val="restart"/>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事业单位经营收入</w:t>
            </w:r>
            <w:r>
              <w:rPr>
                <w:rFonts w:ascii="宋体" w:cs="宋体" w:hAnsi="宋体"/>
                <w:b/>
                <w:bCs/>
                <w:color w:val="000000"/>
                <w:kern w:val="0"/>
                <w:sz w:val="22"/>
                <w:szCs w:val="22"/>
              </w:rPr>
              <w:t xml:space="preserve"> </w:t>
            </w:r>
          </w:p>
        </w:tc>
        <w:tc>
          <w:tcPr>
            <w:tcW w:w="976" w:type="dxa"/>
            <w:vMerge w:val="restart"/>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其他</w:t>
            </w:r>
          </w:p>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收入</w:t>
            </w:r>
          </w:p>
        </w:tc>
        <w:tc>
          <w:tcPr>
            <w:tcW w:w="976" w:type="dxa"/>
            <w:vMerge w:val="restart"/>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上级补助收入</w:t>
            </w:r>
          </w:p>
        </w:tc>
        <w:tc>
          <w:tcPr>
            <w:tcW w:w="976" w:type="dxa"/>
            <w:vMerge w:val="restart"/>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附属单位上缴收入</w:t>
            </w:r>
          </w:p>
        </w:tc>
        <w:tc>
          <w:tcPr>
            <w:tcW w:w="976" w:type="dxa"/>
            <w:vMerge w:val="restart"/>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财政专户管理资金收入</w:t>
            </w:r>
          </w:p>
        </w:tc>
      </w:tr>
      <w:tr>
        <w:trPr>
          <w:trHeight w:val="771"/>
        </w:trPr>
        <w:tc>
          <w:tcPr>
            <w:tcW w:w="955" w:type="dxa"/>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w:t>
            </w:r>
          </w:p>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代码</w:t>
            </w:r>
          </w:p>
        </w:tc>
        <w:tc>
          <w:tcPr>
            <w:tcW w:w="2506" w:type="dxa"/>
            <w:tcBorders>
              <w:top w:val="single" w:sz="4" w:space="0" w:color="auto"/>
              <w:left w:val="single" w:sz="4" w:space="0" w:color="auto"/>
              <w:right w:val="single" w:sz="4" w:space="0" w:color="auto"/>
            </w:tcBorders>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单位名称（科目）</w:t>
            </w:r>
          </w:p>
        </w:tc>
        <w:tc>
          <w:tcPr>
            <w:tcW w:w="1103" w:type="dxa"/>
            <w:vMerge/>
            <w:tcBorders>
              <w:top w:val="single" w:sz="4" w:space="0" w:color="auto"/>
              <w:left w:val="single" w:sz="4" w:space="0" w:color="auto"/>
              <w:right w:val="single" w:sz="4" w:space="0" w:color="auto"/>
            </w:tcBorders>
            <w:vAlign w:val="center"/>
          </w:tcPr>
          <w:p/>
        </w:tc>
        <w:tc>
          <w:tcPr>
            <w:tcW w:w="976" w:type="dxa"/>
            <w:vMerge/>
            <w:tcBorders>
              <w:top w:val="single" w:sz="4" w:space="0" w:color="auto"/>
              <w:left w:val="single" w:sz="4" w:space="0" w:color="auto"/>
              <w:right w:val="single" w:sz="4" w:space="0" w:color="auto"/>
            </w:tcBorders>
            <w:vAlign w:val="center"/>
          </w:tcPr>
          <w:p/>
        </w:tc>
        <w:tc>
          <w:tcPr>
            <w:tcW w:w="1103" w:type="dxa"/>
            <w:vMerge/>
            <w:tcBorders>
              <w:top w:val="single" w:sz="4" w:space="0" w:color="auto"/>
              <w:left w:val="single" w:sz="4" w:space="0" w:color="auto"/>
              <w:right w:val="single" w:sz="4" w:space="0" w:color="auto"/>
            </w:tcBorders>
            <w:vAlign w:val="center"/>
          </w:tcPr>
          <w:p/>
        </w:tc>
        <w:tc>
          <w:tcPr>
            <w:tcW w:w="976" w:type="dxa"/>
            <w:vMerge/>
            <w:tcBorders>
              <w:top w:val="single" w:sz="4" w:space="0" w:color="auto"/>
              <w:left w:val="single" w:sz="4" w:space="0" w:color="auto"/>
              <w:right w:val="single" w:sz="4" w:space="0" w:color="auto"/>
            </w:tcBorders>
            <w:vAlign w:val="center"/>
          </w:tcPr>
          <w:p/>
        </w:tc>
        <w:tc>
          <w:tcPr>
            <w:tcW w:w="976" w:type="dxa"/>
            <w:vMerge/>
            <w:tcBorders>
              <w:top w:val="single" w:sz="4" w:space="0" w:color="auto"/>
              <w:left w:val="single" w:sz="4" w:space="0" w:color="auto"/>
              <w:right w:val="single" w:sz="4" w:space="0" w:color="auto"/>
            </w:tcBorders>
            <w:vAlign w:val="center"/>
          </w:tcPr>
          <w:p/>
        </w:tc>
        <w:tc>
          <w:tcPr>
            <w:tcW w:w="976" w:type="dxa"/>
            <w:vMerge/>
            <w:tcBorders>
              <w:top w:val="single" w:sz="4" w:space="0" w:color="auto"/>
              <w:left w:val="single" w:sz="4" w:space="0" w:color="auto"/>
              <w:right w:val="single" w:sz="4" w:space="0" w:color="auto"/>
            </w:tcBorders>
            <w:vAlign w:val="center"/>
          </w:tcPr>
          <w:p/>
        </w:tc>
        <w:tc>
          <w:tcPr>
            <w:tcW w:w="976" w:type="dxa"/>
            <w:vMerge/>
            <w:tcBorders>
              <w:top w:val="single" w:sz="4" w:space="0" w:color="auto"/>
              <w:left w:val="single" w:sz="4" w:space="0" w:color="auto"/>
              <w:right w:val="single" w:sz="4" w:space="0" w:color="auto"/>
            </w:tcBorders>
            <w:vAlign w:val="center"/>
          </w:tcPr>
          <w:p/>
        </w:tc>
        <w:tc>
          <w:tcPr>
            <w:tcW w:w="976" w:type="dxa"/>
            <w:vMerge/>
            <w:tcBorders>
              <w:top w:val="single" w:sz="4" w:space="0" w:color="auto"/>
              <w:left w:val="single" w:sz="4" w:space="0" w:color="auto"/>
              <w:right w:val="single" w:sz="4" w:space="0" w:color="auto"/>
            </w:tcBorders>
            <w:vAlign w:val="center"/>
          </w:tcPr>
          <w:p/>
        </w:tc>
        <w:tc>
          <w:tcPr>
            <w:tcW w:w="976" w:type="dxa"/>
            <w:vMerge/>
            <w:tcBorders>
              <w:top w:val="single" w:sz="4" w:space="0" w:color="auto"/>
              <w:left w:val="single" w:sz="4" w:space="0" w:color="auto"/>
              <w:right w:val="single" w:sz="4" w:space="0" w:color="auto"/>
            </w:tcBorders>
            <w:vAlign w:val="center"/>
          </w:tcPr>
          <w:p/>
        </w:tc>
        <w:tc>
          <w:tcPr>
            <w:tcW w:w="976" w:type="dxa"/>
            <w:vMerge/>
            <w:tcBorders>
              <w:top w:val="single" w:sz="4" w:space="0" w:color="auto"/>
              <w:left w:val="single" w:sz="4" w:space="0" w:color="auto"/>
              <w:right w:val="single" w:sz="4" w:space="0" w:color="auto"/>
            </w:tcBorders>
            <w:vAlign w:val="center"/>
          </w:tcPr>
          <w:p/>
        </w:tc>
        <w:tc>
          <w:tcPr>
            <w:tcW w:w="976" w:type="dxa"/>
            <w:vMerge/>
            <w:vAlign w:val="center"/>
          </w:tcPr>
          <w:p/>
        </w:tc>
      </w:tr>
      <w:tr>
        <w:trPr>
          <w:trHeight w:val="772"/>
        </w:trPr>
        <w:tc>
          <w:tcPr>
            <w:tcW w:w="955" w:type="dxa"/>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　</w:t>
            </w:r>
          </w:p>
        </w:tc>
        <w:tc>
          <w:tcPr>
            <w:tcW w:w="2506"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计</w:t>
            </w:r>
          </w:p>
        </w:tc>
        <w:tc>
          <w:tcPr>
            <w:tcW w:w="110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2,800.61</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110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2,743.50</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57.11</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976" w:type="dxa"/>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r>
      <w:tr>
        <w:trPr>
          <w:trHeight w:val="771"/>
        </w:trPr>
        <w:tc>
          <w:tcPr>
            <w:tcW w:w="955" w:type="dxa"/>
            <w:shd w:val="clear" w:color="FFFFFF" w:fill="FFFFFF"/>
            <w:noWrap/>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250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10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2,800.61</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10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2,743.50</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57.11</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97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97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772"/>
        </w:trPr>
        <w:tc>
          <w:tcPr>
            <w:tcW w:w="955" w:type="dxa"/>
            <w:shd w:val="clear" w:color="FFFFFF" w:fill="FFFFFF"/>
            <w:noWrap/>
            <w:vAlign w:val="center"/>
          </w:tcPr>
          <w:p>
            <w:pPr>
              <w:widowControl/>
              <w:suppressAutoHyphens w:val="0"/>
              <w:jc w:val="left"/>
              <w:rPr>
                <w:rFonts w:ascii="宋体" w:cs="宋体"/>
                <w:color w:val="000000"/>
                <w:kern w:val="0"/>
                <w:sz w:val="22"/>
                <w:szCs w:val="22"/>
              </w:rPr>
            </w:pPr>
            <w:r>
              <w:rPr>
                <w:rFonts w:ascii="宋体" w:cs="宋体" w:hAnsi="宋体"/>
                <w:color w:val="000000"/>
                <w:kern w:val="0"/>
                <w:sz w:val="22"/>
                <w:szCs w:val="22"/>
              </w:rPr>
              <w:t>328001</w:t>
            </w:r>
          </w:p>
        </w:tc>
        <w:tc>
          <w:tcPr>
            <w:tcW w:w="250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广元市经济和信息化局</w:t>
            </w:r>
          </w:p>
        </w:tc>
        <w:tc>
          <w:tcPr>
            <w:tcW w:w="110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2,800.61</w:t>
            </w:r>
          </w:p>
        </w:tc>
        <w:tc>
          <w:tcPr>
            <w:tcW w:w="9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103"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2,743.50</w:t>
            </w:r>
          </w:p>
        </w:tc>
        <w:tc>
          <w:tcPr>
            <w:tcW w:w="9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9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9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9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9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57.11</w:t>
            </w:r>
          </w:p>
        </w:tc>
        <w:tc>
          <w:tcPr>
            <w:tcW w:w="9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9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976"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bl>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r>
        <w:rPr>
          <w:rFonts w:ascii="黑体" w:eastAsia="黑体" w:cs="方正小标宋简体" w:hAnsi="黑体" w:hint="eastAsia"/>
          <w:color w:val="000000"/>
          <w:kern w:val="0"/>
          <w:sz w:val="32"/>
          <w:szCs w:val="32"/>
          <w:shd w:val="clear" w:color="auto" w:fill="FFFFFF"/>
        </w:rPr>
        <w:t>表</w:t>
      </w:r>
      <w:r>
        <w:rPr>
          <w:rFonts w:ascii="黑体" w:eastAsia="黑体" w:cs="方正小标宋简体" w:hAnsi="黑体"/>
          <w:color w:val="000000"/>
          <w:kern w:val="0"/>
          <w:sz w:val="32"/>
          <w:szCs w:val="32"/>
          <w:shd w:val="clear" w:color="auto" w:fill="FFFFFF"/>
        </w:rPr>
        <w:t>3</w:t>
      </w:r>
    </w:p>
    <w:p>
      <w:pPr>
        <w:adjustRightInd w:val="0"/>
        <w:snapToGrid w:val="0"/>
        <w:jc w:val="center"/>
        <w:outlineLvl w:val="0"/>
        <w:rPr>
          <w:rFonts w:ascii="方正小标宋简体" w:eastAsia="方正小标宋简体" w:cs="方正小标宋简体" w:hAnsi="方正小标宋简体"/>
          <w:color w:val="000000"/>
          <w:kern w:val="0"/>
          <w:sz w:val="44"/>
          <w:szCs w:val="44"/>
          <w:shd w:val="clear" w:color="auto" w:fill="FFFFFF"/>
        </w:rPr>
      </w:pPr>
      <w:bookmarkStart w:id="16" w:name="_Toc188545586"/>
      <w:bookmarkStart w:id="17" w:name="_Toc188545365"/>
      <w:r>
        <w:rPr>
          <w:rFonts w:ascii="方正小标宋简体" w:eastAsia="方正小标宋简体" w:cs="方正小标宋简体" w:hAnsi="方正小标宋简体" w:hint="eastAsia"/>
          <w:color w:val="000000"/>
          <w:kern w:val="0"/>
          <w:sz w:val="44"/>
          <w:szCs w:val="44"/>
          <w:shd w:val="clear" w:color="auto" w:fill="FFFFFF"/>
        </w:rPr>
        <w:t>部门支出总表</w:t>
      </w:r>
      <w:bookmarkEnd w:id="16"/>
      <w:bookmarkEnd w:id="17"/>
    </w:p>
    <w:p>
      <w:pPr>
        <w:adjustRightInd w:val="0"/>
        <w:snapToGrid w:val="0"/>
        <w:spacing w:beforeLines="50" w:before="156" w:afterLines="20" w:after="62"/>
        <w:rPr>
          <w:rFonts w:ascii="仿宋_GB2312" w:eastAsia="仿宋_GB2312" w:cs="仿宋_GB2312" w:hAnsi="仿宋_GB2312"/>
          <w:sz w:val="28"/>
          <w:szCs w:val="28"/>
        </w:rPr>
      </w:pPr>
      <w:r>
        <w:rPr>
          <w:rFonts w:ascii="仿宋_GB2312" w:eastAsia="仿宋_GB2312" w:cs="仿宋_GB2312" w:hAnsi="仿宋_GB2312" w:hint="eastAsia"/>
          <w:sz w:val="28"/>
          <w:szCs w:val="28"/>
        </w:rPr>
        <w:t>部门：</w:t>
      </w:r>
      <w:r>
        <w:rPr>
          <w:rFonts w:ascii="仿宋_GB2312" w:eastAsia="仿宋_GB2312" w:cs="仿宋_GB2312" w:hAnsi="仿宋_GB2312"/>
          <w:sz w:val="28"/>
          <w:szCs w:val="28"/>
        </w:rPr>
        <w:tab/>
        <w:tab/>
        <w:t xml:space="preserve">                                                                      </w:t>
        <w:tab/>
      </w:r>
      <w:r>
        <w:rPr>
          <w:rFonts w:ascii="仿宋_GB2312" w:eastAsia="仿宋_GB2312" w:cs="仿宋_GB2312" w:hAnsi="仿宋_GB2312" w:hint="eastAsia"/>
          <w:sz w:val="28"/>
          <w:szCs w:val="28"/>
        </w:rPr>
        <w:t>金额单位：万元</w:t>
      </w:r>
    </w:p>
    <w:tbl>
      <w:tblPr>
        <w:jc w:val="center"/>
        <w:tblW w:w="14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59"/>
        <w:gridCol w:w="700"/>
        <w:gridCol w:w="896"/>
        <w:gridCol w:w="1602"/>
        <w:gridCol w:w="5093"/>
        <w:gridCol w:w="1760"/>
        <w:gridCol w:w="1760"/>
        <w:gridCol w:w="1760"/>
      </w:tblGrid>
      <w:tr>
        <w:trPr>
          <w:trHeight w:val="394"/>
        </w:trPr>
        <w:tc>
          <w:tcPr>
            <w:tcW w:w="9050" w:type="dxa"/>
            <w:gridSpan w:val="5"/>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目</w:t>
            </w:r>
          </w:p>
        </w:tc>
        <w:tc>
          <w:tcPr>
            <w:tcW w:w="1760"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合计</w:t>
            </w:r>
          </w:p>
        </w:tc>
        <w:tc>
          <w:tcPr>
            <w:tcW w:w="1760"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基本支出</w:t>
            </w:r>
          </w:p>
        </w:tc>
        <w:tc>
          <w:tcPr>
            <w:tcW w:w="1760"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项目支出</w:t>
            </w:r>
          </w:p>
        </w:tc>
      </w:tr>
      <w:tr>
        <w:trPr>
          <w:trHeight w:val="394"/>
        </w:trPr>
        <w:tc>
          <w:tcPr>
            <w:tcW w:w="2355" w:type="dxa"/>
            <w:gridSpan w:val="3"/>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科目编码</w:t>
            </w:r>
          </w:p>
        </w:tc>
        <w:tc>
          <w:tcPr>
            <w:tcW w:w="1602"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单位代码</w:t>
            </w:r>
          </w:p>
        </w:tc>
        <w:tc>
          <w:tcPr>
            <w:tcW w:w="5093"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单位名称（科目）</w:t>
            </w:r>
          </w:p>
        </w:tc>
        <w:tc>
          <w:tcPr>
            <w:tcW w:w="1760" w:type="dxa"/>
            <w:vMerge/>
            <w:tcBorders>
              <w:top w:val="single" w:sz="4" w:space="0" w:color="auto"/>
              <w:left w:val="single" w:sz="4" w:space="0" w:color="auto"/>
              <w:right w:val="single" w:sz="4" w:space="0" w:color="auto"/>
            </w:tcBorders>
            <w:vAlign w:val="center"/>
          </w:tcPr>
          <w:p/>
        </w:tc>
        <w:tc>
          <w:tcPr>
            <w:tcW w:w="1760" w:type="dxa"/>
            <w:vMerge/>
            <w:tcBorders>
              <w:top w:val="single" w:sz="4" w:space="0" w:color="auto"/>
              <w:left w:val="single" w:sz="4" w:space="0" w:color="auto"/>
              <w:right w:val="single" w:sz="4" w:space="0" w:color="auto"/>
            </w:tcBorders>
            <w:vAlign w:val="center"/>
          </w:tcPr>
          <w:p/>
        </w:tc>
        <w:tc>
          <w:tcPr>
            <w:tcW w:w="1760" w:type="dxa"/>
            <w:vMerge/>
            <w:vAlign w:val="center"/>
          </w:tcPr>
          <w:p/>
        </w:tc>
      </w:tr>
      <w:tr>
        <w:trPr>
          <w:trHeight w:val="394"/>
        </w:trPr>
        <w:tc>
          <w:tcPr>
            <w:tcW w:w="759" w:type="dxa"/>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类</w:t>
            </w:r>
          </w:p>
        </w:tc>
        <w:tc>
          <w:tcPr>
            <w:tcW w:w="70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款</w:t>
            </w:r>
          </w:p>
        </w:tc>
        <w:tc>
          <w:tcPr>
            <w:tcW w:w="89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w:t>
            </w:r>
          </w:p>
        </w:tc>
        <w:tc>
          <w:tcPr>
            <w:tcW w:w="1602" w:type="dxa"/>
            <w:vMerge/>
            <w:tcBorders>
              <w:top w:val="single" w:sz="4" w:space="0" w:color="auto"/>
              <w:left w:val="single" w:sz="4" w:space="0" w:color="auto"/>
              <w:right w:val="single" w:sz="4" w:space="0" w:color="auto"/>
            </w:tcBorders>
            <w:vAlign w:val="center"/>
          </w:tcPr>
          <w:p/>
        </w:tc>
        <w:tc>
          <w:tcPr>
            <w:tcW w:w="5093" w:type="dxa"/>
            <w:vMerge/>
            <w:tcBorders>
              <w:top w:val="single" w:sz="4" w:space="0" w:color="auto"/>
              <w:left w:val="single" w:sz="4" w:space="0" w:color="auto"/>
              <w:right w:val="single" w:sz="4" w:space="0" w:color="auto"/>
            </w:tcBorders>
            <w:vAlign w:val="center"/>
          </w:tcPr>
          <w:p/>
        </w:tc>
        <w:tc>
          <w:tcPr>
            <w:tcW w:w="1760" w:type="dxa"/>
            <w:vMerge/>
            <w:tcBorders>
              <w:top w:val="single" w:sz="4" w:space="0" w:color="auto"/>
              <w:left w:val="single" w:sz="4" w:space="0" w:color="auto"/>
              <w:right w:val="single" w:sz="4" w:space="0" w:color="auto"/>
            </w:tcBorders>
            <w:vAlign w:val="center"/>
          </w:tcPr>
          <w:p/>
        </w:tc>
        <w:tc>
          <w:tcPr>
            <w:tcW w:w="1760" w:type="dxa"/>
            <w:vMerge/>
            <w:tcBorders>
              <w:top w:val="single" w:sz="4" w:space="0" w:color="auto"/>
              <w:left w:val="single" w:sz="4" w:space="0" w:color="auto"/>
              <w:right w:val="single" w:sz="4" w:space="0" w:color="auto"/>
            </w:tcBorders>
            <w:vAlign w:val="center"/>
          </w:tcPr>
          <w:p/>
        </w:tc>
        <w:tc>
          <w:tcPr>
            <w:tcW w:w="1760" w:type="dxa"/>
            <w:vMerge/>
            <w:vAlign w:val="center"/>
          </w:tcPr>
          <w:p/>
        </w:tc>
      </w:tr>
      <w:tr>
        <w:trPr>
          <w:trHeight w:val="531"/>
        </w:trPr>
        <w:tc>
          <w:tcPr>
            <w:tcW w:w="759" w:type="dxa"/>
            <w:noWrap/>
            <w:vAlign w:val="center"/>
          </w:tcPr>
          <w:p>
            <w:pPr>
              <w:widowControl/>
              <w:suppressAutoHyphens w:val="0"/>
              <w:jc w:val="center"/>
              <w:rPr>
                <w:rFonts w:ascii="宋体" w:cs="宋体"/>
                <w:b/>
                <w:bCs/>
                <w:color w:val="000000"/>
                <w:kern w:val="0"/>
                <w:sz w:val="22"/>
                <w:szCs w:val="22"/>
              </w:rPr>
            </w:pPr>
          </w:p>
        </w:tc>
        <w:tc>
          <w:tcPr>
            <w:tcW w:w="700"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896"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1602"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5093"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计</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2,800.61</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2,537.05</w:t>
            </w:r>
          </w:p>
        </w:tc>
        <w:tc>
          <w:tcPr>
            <w:tcW w:w="1760" w:type="dxa"/>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263.56</w:t>
            </w:r>
          </w:p>
        </w:tc>
      </w:tr>
      <w:tr>
        <w:trPr>
          <w:trHeight w:val="531"/>
        </w:trPr>
        <w:tc>
          <w:tcPr>
            <w:tcW w:w="759" w:type="dxa"/>
            <w:shd w:val="clear" w:color="FFFFFF" w:fill="FFFFFF"/>
            <w:noWrap/>
            <w:vAlign w:val="center"/>
          </w:tcPr>
          <w:p>
            <w:pPr>
              <w:widowControl/>
              <w:suppressAutoHyphens w:val="0"/>
              <w:jc w:val="center"/>
              <w:rPr>
                <w:rFonts w:ascii="宋体" w:cs="宋体"/>
                <w:color w:val="000000"/>
                <w:kern w:val="0"/>
                <w:sz w:val="22"/>
                <w:szCs w:val="22"/>
              </w:rPr>
            </w:pPr>
          </w:p>
        </w:tc>
        <w:tc>
          <w:tcPr>
            <w:tcW w:w="70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89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1602"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5093"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2,800.61</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2,537.05</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263.56</w:t>
            </w:r>
          </w:p>
        </w:tc>
      </w:tr>
      <w:tr>
        <w:trPr>
          <w:trHeight w:val="532"/>
        </w:trPr>
        <w:tc>
          <w:tcPr>
            <w:tcW w:w="759" w:type="dxa"/>
            <w:shd w:val="clear" w:color="FFFFFF" w:fill="FFFFFF"/>
            <w:noWrap/>
            <w:vAlign w:val="center"/>
          </w:tcPr>
          <w:p>
            <w:pPr>
              <w:widowControl/>
              <w:suppressAutoHyphens w:val="0"/>
              <w:jc w:val="center"/>
              <w:rPr>
                <w:rFonts w:ascii="宋体" w:cs="宋体"/>
                <w:color w:val="000000"/>
                <w:kern w:val="0"/>
                <w:sz w:val="22"/>
                <w:szCs w:val="22"/>
              </w:rPr>
            </w:pPr>
          </w:p>
        </w:tc>
        <w:tc>
          <w:tcPr>
            <w:tcW w:w="70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89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1602"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5093"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广元市经济和信息化局</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2,800.61</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2,537.05</w:t>
            </w:r>
          </w:p>
        </w:tc>
        <w:tc>
          <w:tcPr>
            <w:tcW w:w="1760"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263.56</w:t>
            </w:r>
          </w:p>
        </w:tc>
      </w:tr>
      <w:tr>
        <w:trPr>
          <w:trHeight w:val="531"/>
        </w:trPr>
        <w:tc>
          <w:tcPr>
            <w:tcW w:w="759"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201</w:t>
            </w:r>
          </w:p>
        </w:tc>
        <w:tc>
          <w:tcPr>
            <w:tcW w:w="70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03</w:t>
            </w:r>
          </w:p>
        </w:tc>
        <w:tc>
          <w:tcPr>
            <w:tcW w:w="89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01</w:t>
            </w:r>
          </w:p>
        </w:tc>
        <w:tc>
          <w:tcPr>
            <w:tcW w:w="1602"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328001</w:t>
            </w:r>
          </w:p>
        </w:tc>
        <w:tc>
          <w:tcPr>
            <w:tcW w:w="5093"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Times New Roman" w:hAnsi="Times New Roman"/>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行政运行</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2,092.79</w:t>
            </w:r>
          </w:p>
        </w:tc>
        <w:tc>
          <w:tcPr>
            <w:tcW w:w="176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2,092.79</w:t>
            </w:r>
          </w:p>
        </w:tc>
        <w:tc>
          <w:tcPr>
            <w:tcW w:w="1760"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532"/>
        </w:trPr>
        <w:tc>
          <w:tcPr>
            <w:tcW w:w="759"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201</w:t>
            </w:r>
          </w:p>
        </w:tc>
        <w:tc>
          <w:tcPr>
            <w:tcW w:w="70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03</w:t>
            </w:r>
          </w:p>
        </w:tc>
        <w:tc>
          <w:tcPr>
            <w:tcW w:w="89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02</w:t>
            </w:r>
          </w:p>
        </w:tc>
        <w:tc>
          <w:tcPr>
            <w:tcW w:w="1602"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328001</w:t>
            </w:r>
          </w:p>
        </w:tc>
        <w:tc>
          <w:tcPr>
            <w:tcW w:w="5093"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Times New Roman" w:hAnsi="Times New Roman"/>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一般行政管理事务</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254.53</w:t>
            </w:r>
          </w:p>
        </w:tc>
        <w:tc>
          <w:tcPr>
            <w:tcW w:w="176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60"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254.53</w:t>
            </w:r>
          </w:p>
        </w:tc>
      </w:tr>
      <w:tr>
        <w:trPr>
          <w:trHeight w:val="531"/>
        </w:trPr>
        <w:tc>
          <w:tcPr>
            <w:tcW w:w="759"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208</w:t>
            </w:r>
          </w:p>
        </w:tc>
        <w:tc>
          <w:tcPr>
            <w:tcW w:w="70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05</w:t>
            </w:r>
          </w:p>
        </w:tc>
        <w:tc>
          <w:tcPr>
            <w:tcW w:w="89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05</w:t>
            </w:r>
          </w:p>
        </w:tc>
        <w:tc>
          <w:tcPr>
            <w:tcW w:w="1602"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328001</w:t>
            </w:r>
          </w:p>
        </w:tc>
        <w:tc>
          <w:tcPr>
            <w:tcW w:w="5093"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Times New Roman" w:hAnsi="Times New Roman"/>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机关事业单位基本养老保险缴费支出</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202.71</w:t>
            </w:r>
          </w:p>
        </w:tc>
        <w:tc>
          <w:tcPr>
            <w:tcW w:w="176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202.71</w:t>
            </w:r>
          </w:p>
        </w:tc>
        <w:tc>
          <w:tcPr>
            <w:tcW w:w="1760"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531"/>
        </w:trPr>
        <w:tc>
          <w:tcPr>
            <w:tcW w:w="759"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208</w:t>
            </w:r>
          </w:p>
        </w:tc>
        <w:tc>
          <w:tcPr>
            <w:tcW w:w="70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99</w:t>
            </w:r>
          </w:p>
        </w:tc>
        <w:tc>
          <w:tcPr>
            <w:tcW w:w="89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99</w:t>
            </w:r>
          </w:p>
        </w:tc>
        <w:tc>
          <w:tcPr>
            <w:tcW w:w="1602"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328001</w:t>
            </w:r>
          </w:p>
        </w:tc>
        <w:tc>
          <w:tcPr>
            <w:tcW w:w="5093"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Times New Roman" w:hAnsi="Times New Roman"/>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其他社会保障和就业支出</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4.47</w:t>
            </w:r>
          </w:p>
        </w:tc>
        <w:tc>
          <w:tcPr>
            <w:tcW w:w="176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4.47</w:t>
            </w:r>
          </w:p>
        </w:tc>
        <w:tc>
          <w:tcPr>
            <w:tcW w:w="1760"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532"/>
        </w:trPr>
        <w:tc>
          <w:tcPr>
            <w:tcW w:w="759"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210</w:t>
            </w:r>
          </w:p>
        </w:tc>
        <w:tc>
          <w:tcPr>
            <w:tcW w:w="70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11</w:t>
            </w:r>
          </w:p>
        </w:tc>
        <w:tc>
          <w:tcPr>
            <w:tcW w:w="89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01</w:t>
            </w:r>
          </w:p>
        </w:tc>
        <w:tc>
          <w:tcPr>
            <w:tcW w:w="1602"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328001</w:t>
            </w:r>
          </w:p>
        </w:tc>
        <w:tc>
          <w:tcPr>
            <w:tcW w:w="5093"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Times New Roman" w:hAnsi="Times New Roman"/>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行政单位医疗</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65.76</w:t>
            </w:r>
          </w:p>
        </w:tc>
        <w:tc>
          <w:tcPr>
            <w:tcW w:w="176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65.76</w:t>
            </w:r>
          </w:p>
        </w:tc>
        <w:tc>
          <w:tcPr>
            <w:tcW w:w="1760"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531"/>
        </w:trPr>
        <w:tc>
          <w:tcPr>
            <w:tcW w:w="759"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211</w:t>
            </w:r>
          </w:p>
        </w:tc>
        <w:tc>
          <w:tcPr>
            <w:tcW w:w="70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11</w:t>
            </w:r>
          </w:p>
        </w:tc>
        <w:tc>
          <w:tcPr>
            <w:tcW w:w="89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01</w:t>
            </w:r>
          </w:p>
        </w:tc>
        <w:tc>
          <w:tcPr>
            <w:tcW w:w="1602"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328001</w:t>
            </w:r>
          </w:p>
        </w:tc>
        <w:tc>
          <w:tcPr>
            <w:tcW w:w="5093"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Times New Roman" w:hAnsi="Times New Roman"/>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生态环境监测与信息</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9.02</w:t>
            </w:r>
          </w:p>
        </w:tc>
        <w:tc>
          <w:tcPr>
            <w:tcW w:w="176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60"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9.02</w:t>
            </w:r>
          </w:p>
        </w:tc>
      </w:tr>
      <w:tr>
        <w:trPr>
          <w:trHeight w:val="532"/>
        </w:trPr>
        <w:tc>
          <w:tcPr>
            <w:tcW w:w="759"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221</w:t>
            </w:r>
          </w:p>
        </w:tc>
        <w:tc>
          <w:tcPr>
            <w:tcW w:w="70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02</w:t>
            </w:r>
          </w:p>
        </w:tc>
        <w:tc>
          <w:tcPr>
            <w:tcW w:w="89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01</w:t>
            </w:r>
          </w:p>
        </w:tc>
        <w:tc>
          <w:tcPr>
            <w:tcW w:w="1602"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328001</w:t>
            </w:r>
          </w:p>
        </w:tc>
        <w:tc>
          <w:tcPr>
            <w:tcW w:w="5093"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Times New Roman" w:hAnsi="Times New Roman"/>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住房公积金</w:t>
            </w:r>
          </w:p>
        </w:tc>
        <w:tc>
          <w:tcPr>
            <w:tcW w:w="176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171.33</w:t>
            </w:r>
          </w:p>
        </w:tc>
        <w:tc>
          <w:tcPr>
            <w:tcW w:w="176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171.33</w:t>
            </w:r>
          </w:p>
        </w:tc>
        <w:tc>
          <w:tcPr>
            <w:tcW w:w="1760"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bl>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r>
        <w:rPr>
          <w:rFonts w:ascii="黑体" w:eastAsia="黑体" w:cs="方正小标宋简体" w:hAnsi="黑体" w:hint="eastAsia"/>
          <w:color w:val="000000"/>
          <w:kern w:val="0"/>
          <w:sz w:val="32"/>
          <w:szCs w:val="32"/>
          <w:shd w:val="clear" w:color="auto" w:fill="FFFFFF"/>
        </w:rPr>
        <w:t>表</w:t>
      </w:r>
      <w:r>
        <w:rPr>
          <w:rFonts w:ascii="黑体" w:eastAsia="黑体" w:cs="方正小标宋简体" w:hAnsi="黑体"/>
          <w:color w:val="000000"/>
          <w:kern w:val="0"/>
          <w:sz w:val="32"/>
          <w:szCs w:val="32"/>
          <w:shd w:val="clear" w:color="auto" w:fill="FFFFFF"/>
        </w:rPr>
        <w:t>4</w:t>
      </w:r>
    </w:p>
    <w:p>
      <w:pPr>
        <w:adjustRightInd w:val="0"/>
        <w:snapToGrid w:val="0"/>
        <w:jc w:val="center"/>
        <w:outlineLvl w:val="0"/>
        <w:rPr>
          <w:rFonts w:ascii="方正小标宋简体" w:eastAsia="方正小标宋简体" w:cs="方正小标宋简体" w:hAnsi="方正小标宋简体"/>
          <w:color w:val="000000"/>
          <w:kern w:val="0"/>
          <w:sz w:val="44"/>
          <w:szCs w:val="44"/>
          <w:shd w:val="clear" w:color="auto" w:fill="FFFFFF"/>
        </w:rPr>
      </w:pPr>
      <w:bookmarkStart w:id="18" w:name="_Toc188545587"/>
      <w:bookmarkStart w:id="19" w:name="_Toc188545366"/>
      <w:r>
        <w:rPr>
          <w:rFonts w:ascii="方正小标宋简体" w:eastAsia="方正小标宋简体" w:cs="方正小标宋简体" w:hAnsi="方正小标宋简体" w:hint="eastAsia"/>
          <w:color w:val="000000"/>
          <w:kern w:val="0"/>
          <w:sz w:val="44"/>
          <w:szCs w:val="44"/>
          <w:shd w:val="clear" w:color="auto" w:fill="FFFFFF"/>
        </w:rPr>
        <w:t>财政拨款收支预算总表</w:t>
      </w:r>
      <w:bookmarkEnd w:id="18"/>
      <w:bookmarkEnd w:id="19"/>
    </w:p>
    <w:p>
      <w:pPr>
        <w:adjustRightInd w:val="0"/>
        <w:snapToGrid w:val="0"/>
        <w:spacing w:beforeLines="20" w:before="62" w:afterLines="20" w:after="62"/>
        <w:rPr>
          <w:rFonts w:ascii="仿宋_GB2312" w:eastAsia="仿宋_GB2312" w:cs="仿宋_GB2312" w:hAnsi="仿宋_GB2312"/>
          <w:sz w:val="28"/>
          <w:szCs w:val="28"/>
        </w:rPr>
      </w:pPr>
      <w:r>
        <w:rPr>
          <w:rFonts w:ascii="仿宋_GB2312" w:eastAsia="仿宋_GB2312" w:cs="仿宋_GB2312" w:hAnsi="仿宋_GB2312" w:hint="eastAsia"/>
          <w:sz w:val="28"/>
          <w:szCs w:val="28"/>
        </w:rPr>
        <w:t>部门：</w:t>
      </w:r>
      <w:r>
        <w:rPr>
          <w:rFonts w:ascii="仿宋_GB2312" w:eastAsia="仿宋_GB2312" w:cs="仿宋_GB2312" w:hAnsi="仿宋_GB2312"/>
          <w:sz w:val="28"/>
          <w:szCs w:val="28"/>
        </w:rPr>
        <w:tab/>
        <w:tab/>
        <w:t xml:space="preserve">                                                                      </w:t>
        <w:tab/>
      </w:r>
      <w:r>
        <w:rPr>
          <w:rFonts w:ascii="仿宋_GB2312" w:eastAsia="仿宋_GB2312" w:cs="仿宋_GB2312" w:hAnsi="仿宋_GB2312" w:hint="eastAsia"/>
          <w:sz w:val="28"/>
          <w:szCs w:val="28"/>
        </w:rPr>
        <w:t>金额单位：万元</w:t>
      </w:r>
    </w:p>
    <w:tbl>
      <w:tblPr>
        <w:jc w:val="center"/>
        <w:tblW w:w="15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3375"/>
        <w:gridCol w:w="1482"/>
        <w:gridCol w:w="2844"/>
        <w:gridCol w:w="1292"/>
        <w:gridCol w:w="1923"/>
        <w:gridCol w:w="1916"/>
        <w:gridCol w:w="2178"/>
      </w:tblGrid>
      <w:tr>
        <w:trPr>
          <w:trHeight w:val="429"/>
          <w:tblHeader/>
        </w:trPr>
        <w:tc>
          <w:tcPr>
            <w:tcW w:w="4857" w:type="dxa"/>
            <w:gridSpan w:val="2"/>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收</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入</w:t>
            </w:r>
          </w:p>
        </w:tc>
        <w:tc>
          <w:tcPr>
            <w:tcW w:w="10153" w:type="dxa"/>
            <w:gridSpan w:val="5"/>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支</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出</w:t>
            </w:r>
          </w:p>
        </w:tc>
      </w:tr>
      <w:tr>
        <w:trPr>
          <w:trHeight w:val="429"/>
          <w:tblHeader/>
        </w:trPr>
        <w:tc>
          <w:tcPr>
            <w:tcW w:w="3375" w:type="dxa"/>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目</w:t>
            </w:r>
          </w:p>
        </w:tc>
        <w:tc>
          <w:tcPr>
            <w:tcW w:w="1482"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预算数</w:t>
            </w:r>
          </w:p>
        </w:tc>
        <w:tc>
          <w:tcPr>
            <w:tcW w:w="284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目</w:t>
            </w:r>
          </w:p>
        </w:tc>
        <w:tc>
          <w:tcPr>
            <w:tcW w:w="1292"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合计</w:t>
            </w:r>
          </w:p>
        </w:tc>
        <w:tc>
          <w:tcPr>
            <w:tcW w:w="1923"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一般公共预算</w:t>
            </w:r>
          </w:p>
        </w:tc>
        <w:tc>
          <w:tcPr>
            <w:tcW w:w="191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政府性基金预算</w:t>
            </w:r>
          </w:p>
        </w:tc>
        <w:tc>
          <w:tcPr>
            <w:tcW w:w="2178" w:type="dxa"/>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国有资本经营预算</w:t>
            </w:r>
          </w:p>
        </w:tc>
      </w:tr>
      <w:tr>
        <w:trPr>
          <w:trHeight w:val="399"/>
        </w:trPr>
        <w:tc>
          <w:tcPr>
            <w:tcW w:w="3375" w:type="dxa"/>
            <w:noWrap/>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一、本年收入</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2,743.50</w:t>
            </w:r>
          </w:p>
        </w:tc>
        <w:tc>
          <w:tcPr>
            <w:tcW w:w="2844" w:type="dxa"/>
            <w:tcBorders>
              <w:top w:val="single" w:sz="4" w:space="0" w:color="auto"/>
              <w:left w:val="single" w:sz="4" w:space="0" w:color="auto"/>
              <w:right w:val="single" w:sz="4" w:space="0" w:color="auto"/>
            </w:tcBorders>
            <w:noWrap/>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一、本年支出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2,743.50</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2,743.50</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ind w:rightChars="-32" w:right="-67"/>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一般公共预算拨款收入</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2,743.50</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一般公共服务支出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2,299.24</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2,299.24</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政府性基金预算拨款收入</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外交支出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国有资本经营预算拨款收入</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国防支出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noWrap/>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二、上年结转</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公共安全支出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一般公共预算拨款收入</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教育支出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政府性基金预算拨款收入</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科学技术支出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国有资本经营预算拨款收入</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文化旅游体育与传媒支出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社会保障和就业支出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207.17</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207.17</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社会保险基金支出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卫生健康支出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65.76</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65.76</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节能环保支出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城乡社区支出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农林水支出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交通运输支出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资源勘探工业信息等支出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商业服务业等支出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金融支出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援助其他地区支出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自然资源海洋气象等支出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住房保障支出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171.33</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171.33</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粮油物资储备支出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国有资本经营预算支出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灾害防治及应急管理支出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其他支出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债务还本支出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债务付息支出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债务发行费用支出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99"/>
        </w:trPr>
        <w:tc>
          <w:tcPr>
            <w:tcW w:w="3375" w:type="dxa"/>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48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844"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抗疫特别国债安排的支出</w:t>
            </w:r>
          </w:p>
        </w:tc>
        <w:tc>
          <w:tcPr>
            <w:tcW w:w="129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2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91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8"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bl>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r>
        <w:rPr>
          <w:rFonts w:ascii="黑体" w:eastAsia="黑体" w:cs="方正小标宋简体" w:hAnsi="黑体" w:hint="eastAsia"/>
          <w:color w:val="000000"/>
          <w:kern w:val="0"/>
          <w:sz w:val="32"/>
          <w:szCs w:val="32"/>
          <w:shd w:val="clear" w:color="auto" w:fill="FFFFFF"/>
        </w:rPr>
        <w:t>表</w:t>
      </w:r>
      <w:r>
        <w:rPr>
          <w:rFonts w:ascii="黑体" w:eastAsia="黑体" w:cs="方正小标宋简体" w:hAnsi="黑体"/>
          <w:color w:val="000000"/>
          <w:kern w:val="0"/>
          <w:sz w:val="32"/>
          <w:szCs w:val="32"/>
          <w:shd w:val="clear" w:color="auto" w:fill="FFFFFF"/>
        </w:rPr>
        <w:t>5</w:t>
      </w:r>
    </w:p>
    <w:p>
      <w:pPr>
        <w:adjustRightInd w:val="0"/>
        <w:snapToGrid w:val="0"/>
        <w:jc w:val="center"/>
        <w:outlineLvl w:val="0"/>
        <w:rPr>
          <w:rFonts w:ascii="方正小标宋简体" w:eastAsia="方正小标宋简体" w:cs="方正小标宋简体" w:hAnsi="方正小标宋简体"/>
          <w:color w:val="000000"/>
          <w:kern w:val="0"/>
          <w:sz w:val="44"/>
          <w:szCs w:val="44"/>
          <w:shd w:val="clear" w:color="auto" w:fill="FFFFFF"/>
        </w:rPr>
      </w:pPr>
      <w:bookmarkStart w:id="20" w:name="_Toc188545367"/>
      <w:bookmarkStart w:id="21" w:name="_Toc188545588"/>
      <w:r>
        <w:rPr>
          <w:rFonts w:ascii="方正小标宋简体" w:eastAsia="方正小标宋简体" w:cs="方正小标宋简体" w:hAnsi="方正小标宋简体" w:hint="eastAsia"/>
          <w:color w:val="000000"/>
          <w:kern w:val="0"/>
          <w:sz w:val="44"/>
          <w:szCs w:val="44"/>
          <w:shd w:val="clear" w:color="auto" w:fill="FFFFFF"/>
        </w:rPr>
        <w:t>财政拨款支出预算表（部门经济分类科目）</w:t>
      </w:r>
      <w:bookmarkEnd w:id="20"/>
      <w:bookmarkEnd w:id="21"/>
    </w:p>
    <w:p>
      <w:pPr>
        <w:adjustRightInd w:val="0"/>
        <w:snapToGrid w:val="0"/>
        <w:rPr>
          <w:rFonts w:ascii="仿宋_GB2312" w:eastAsia="仿宋_GB2312" w:cs="仿宋_GB2312" w:hAnsi="仿宋_GB2312"/>
          <w:sz w:val="28"/>
          <w:szCs w:val="28"/>
        </w:rPr>
      </w:pPr>
      <w:r>
        <w:rPr>
          <w:rFonts w:ascii="仿宋_GB2312" w:eastAsia="仿宋_GB2312" w:cs="仿宋_GB2312" w:hAnsi="仿宋_GB2312" w:hint="eastAsia"/>
          <w:sz w:val="28"/>
          <w:szCs w:val="28"/>
        </w:rPr>
        <w:t>部门：</w:t>
      </w:r>
      <w:r>
        <w:rPr>
          <w:rFonts w:ascii="仿宋_GB2312" w:eastAsia="仿宋_GB2312" w:cs="仿宋_GB2312" w:hAnsi="仿宋_GB2312"/>
          <w:sz w:val="28"/>
          <w:szCs w:val="28"/>
        </w:rPr>
        <w:tab/>
        <w:tab/>
        <w:t xml:space="preserve">                                                                      </w:t>
        <w:tab/>
      </w:r>
      <w:r>
        <w:rPr>
          <w:rFonts w:ascii="仿宋_GB2312" w:eastAsia="仿宋_GB2312" w:cs="仿宋_GB2312" w:hAnsi="仿宋_GB2312" w:hint="eastAsia"/>
          <w:sz w:val="28"/>
          <w:szCs w:val="28"/>
        </w:rPr>
        <w:t>金额单位：万元</w:t>
      </w:r>
    </w:p>
    <w:tbl>
      <w:tblPr>
        <w:jc w:val="center"/>
        <w:tblW w:w="15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8" w:type="dxa"/>
          <w:bottom w:w="0" w:type="dxa"/>
          <w:right w:w="28" w:type="dxa"/>
        </w:tblCellMar>
      </w:tblPr>
      <w:tblGrid>
        <w:gridCol w:w="405"/>
        <w:gridCol w:w="263"/>
        <w:gridCol w:w="593"/>
        <w:gridCol w:w="1704"/>
        <w:gridCol w:w="804"/>
        <w:gridCol w:w="791"/>
        <w:gridCol w:w="771"/>
        <w:gridCol w:w="812"/>
        <w:gridCol w:w="702"/>
        <w:gridCol w:w="264"/>
        <w:gridCol w:w="264"/>
        <w:gridCol w:w="264"/>
        <w:gridCol w:w="366"/>
        <w:gridCol w:w="366"/>
        <w:gridCol w:w="366"/>
        <w:gridCol w:w="264"/>
        <w:gridCol w:w="264"/>
        <w:gridCol w:w="264"/>
        <w:gridCol w:w="264"/>
        <w:gridCol w:w="264"/>
        <w:gridCol w:w="264"/>
        <w:gridCol w:w="264"/>
        <w:gridCol w:w="366"/>
        <w:gridCol w:w="366"/>
        <w:gridCol w:w="366"/>
        <w:gridCol w:w="264"/>
        <w:gridCol w:w="264"/>
        <w:gridCol w:w="264"/>
        <w:gridCol w:w="264"/>
        <w:gridCol w:w="264"/>
        <w:gridCol w:w="264"/>
        <w:gridCol w:w="264"/>
        <w:gridCol w:w="366"/>
        <w:gridCol w:w="366"/>
        <w:gridCol w:w="366"/>
        <w:gridCol w:w="366"/>
        <w:gridCol w:w="366"/>
        <w:gridCol w:w="366"/>
      </w:tblGrid>
      <w:tr>
        <w:trPr>
          <w:trHeight w:val="372"/>
          <w:tblHeader/>
        </w:trPr>
        <w:tc>
          <w:tcPr>
            <w:tcW w:w="2965" w:type="dxa"/>
            <w:gridSpan w:val="4"/>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项</w:t>
            </w:r>
            <w:r>
              <w:rPr>
                <w:rFonts w:ascii="宋体" w:cs="宋体" w:hAnsi="宋体"/>
                <w:b/>
                <w:bCs/>
                <w:color w:val="000000"/>
                <w:kern w:val="0"/>
                <w:sz w:val="16"/>
                <w:szCs w:val="16"/>
              </w:rPr>
              <w:t xml:space="preserve">    </w:t>
            </w:r>
            <w:r>
              <w:rPr>
                <w:rFonts w:ascii="宋体" w:cs="宋体" w:hAnsi="宋体" w:hint="eastAsia"/>
                <w:b/>
                <w:bCs/>
                <w:color w:val="000000"/>
                <w:kern w:val="0"/>
                <w:sz w:val="16"/>
                <w:szCs w:val="16"/>
              </w:rPr>
              <w:t>目</w:t>
            </w:r>
          </w:p>
        </w:tc>
        <w:tc>
          <w:tcPr>
            <w:tcW w:w="804" w:type="dxa"/>
            <w:vMerge w:val="restart"/>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总计</w:t>
            </w:r>
          </w:p>
        </w:tc>
        <w:tc>
          <w:tcPr>
            <w:tcW w:w="4966" w:type="dxa"/>
            <w:gridSpan w:val="10"/>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lang w:val="en-US" w:eastAsia="zh-CN"/>
              </w:rPr>
              <w:t>市</w:t>
            </w:r>
            <w:r>
              <w:rPr>
                <w:rFonts w:ascii="宋体" w:cs="宋体" w:hAnsi="宋体" w:hint="eastAsia"/>
                <w:b/>
                <w:bCs/>
                <w:color w:val="000000"/>
                <w:kern w:val="0"/>
                <w:sz w:val="16"/>
                <w:szCs w:val="16"/>
              </w:rPr>
              <w:t>级当年财政拨款安排</w:t>
            </w:r>
          </w:p>
        </w:tc>
        <w:tc>
          <w:tcPr>
            <w:tcW w:w="2946" w:type="dxa"/>
            <w:gridSpan w:val="10"/>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中央提前通知专项转移支付等</w:t>
            </w:r>
          </w:p>
        </w:tc>
        <w:tc>
          <w:tcPr>
            <w:tcW w:w="4044" w:type="dxa"/>
            <w:gridSpan w:val="13"/>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上年结转安排</w:t>
            </w:r>
          </w:p>
        </w:tc>
      </w:tr>
      <w:tr>
        <w:trPr>
          <w:tblHeader/>
        </w:trPr>
        <w:tc>
          <w:tcPr>
            <w:tcW w:w="668" w:type="dxa"/>
            <w:gridSpan w:val="2"/>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科目</w:t>
            </w:r>
          </w:p>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编码</w:t>
            </w:r>
          </w:p>
        </w:tc>
        <w:tc>
          <w:tcPr>
            <w:tcW w:w="593"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单位</w:t>
            </w:r>
          </w:p>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代码</w:t>
            </w:r>
          </w:p>
        </w:tc>
        <w:tc>
          <w:tcPr>
            <w:tcW w:w="1704"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单位名称（科目）</w:t>
            </w:r>
          </w:p>
        </w:tc>
        <w:tc>
          <w:tcPr>
            <w:tcW w:w="804" w:type="dxa"/>
            <w:vMerge/>
            <w:tcBorders>
              <w:top w:val="single" w:sz="4" w:space="0" w:color="auto"/>
              <w:left w:val="single" w:sz="4" w:space="0" w:color="auto"/>
              <w:right w:val="single" w:sz="4" w:space="0" w:color="auto"/>
            </w:tcBorders>
            <w:vAlign w:val="center"/>
          </w:tcPr>
          <w:p/>
        </w:tc>
        <w:tc>
          <w:tcPr>
            <w:tcW w:w="791"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合计</w:t>
            </w:r>
          </w:p>
        </w:tc>
        <w:tc>
          <w:tcPr>
            <w:tcW w:w="2285" w:type="dxa"/>
            <w:gridSpan w:val="3"/>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一般公共预算拨款</w:t>
            </w:r>
          </w:p>
        </w:tc>
        <w:tc>
          <w:tcPr>
            <w:tcW w:w="792" w:type="dxa"/>
            <w:gridSpan w:val="3"/>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政府性基金安排</w:t>
            </w:r>
          </w:p>
        </w:tc>
        <w:tc>
          <w:tcPr>
            <w:tcW w:w="1098" w:type="dxa"/>
            <w:gridSpan w:val="3"/>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国有资本经营预算安排</w:t>
            </w:r>
          </w:p>
        </w:tc>
        <w:tc>
          <w:tcPr>
            <w:tcW w:w="264"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合计</w:t>
            </w:r>
          </w:p>
        </w:tc>
        <w:tc>
          <w:tcPr>
            <w:tcW w:w="792" w:type="dxa"/>
            <w:gridSpan w:val="3"/>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一般公共预算拨款</w:t>
            </w:r>
          </w:p>
        </w:tc>
        <w:tc>
          <w:tcPr>
            <w:tcW w:w="792" w:type="dxa"/>
            <w:gridSpan w:val="3"/>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政府性基金安排</w:t>
            </w:r>
          </w:p>
        </w:tc>
        <w:tc>
          <w:tcPr>
            <w:tcW w:w="1098" w:type="dxa"/>
            <w:gridSpan w:val="3"/>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国有资本经营预算安排</w:t>
            </w:r>
          </w:p>
        </w:tc>
        <w:tc>
          <w:tcPr>
            <w:tcW w:w="264"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合计</w:t>
            </w:r>
          </w:p>
        </w:tc>
        <w:tc>
          <w:tcPr>
            <w:tcW w:w="792" w:type="dxa"/>
            <w:gridSpan w:val="3"/>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一般公共预算拨款</w:t>
            </w:r>
          </w:p>
        </w:tc>
        <w:tc>
          <w:tcPr>
            <w:tcW w:w="792" w:type="dxa"/>
            <w:gridSpan w:val="3"/>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政府性基金安排</w:t>
            </w:r>
          </w:p>
        </w:tc>
        <w:tc>
          <w:tcPr>
            <w:tcW w:w="1098" w:type="dxa"/>
            <w:gridSpan w:val="3"/>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国有资本经营预算安排</w:t>
            </w:r>
          </w:p>
        </w:tc>
        <w:tc>
          <w:tcPr>
            <w:tcW w:w="1098" w:type="dxa"/>
            <w:gridSpan w:val="3"/>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上年应返还额度结转</w:t>
            </w:r>
          </w:p>
        </w:tc>
      </w:tr>
      <w:tr>
        <w:trPr>
          <w:tblHeader/>
        </w:trPr>
        <w:tc>
          <w:tcPr>
            <w:tcW w:w="405" w:type="dxa"/>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类</w:t>
            </w:r>
          </w:p>
        </w:tc>
        <w:tc>
          <w:tcPr>
            <w:tcW w:w="263"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款</w:t>
            </w:r>
          </w:p>
        </w:tc>
        <w:tc>
          <w:tcPr>
            <w:tcW w:w="593" w:type="dxa"/>
            <w:vMerge/>
            <w:tcBorders>
              <w:top w:val="single" w:sz="4" w:space="0" w:color="auto"/>
              <w:left w:val="single" w:sz="4" w:space="0" w:color="auto"/>
              <w:right w:val="single" w:sz="4" w:space="0" w:color="auto"/>
            </w:tcBorders>
            <w:vAlign w:val="center"/>
          </w:tcPr>
          <w:p/>
        </w:tc>
        <w:tc>
          <w:tcPr>
            <w:tcW w:w="1704" w:type="dxa"/>
            <w:vMerge/>
            <w:tcBorders>
              <w:top w:val="single" w:sz="4" w:space="0" w:color="auto"/>
              <w:left w:val="single" w:sz="4" w:space="0" w:color="auto"/>
              <w:right w:val="single" w:sz="4" w:space="0" w:color="auto"/>
            </w:tcBorders>
            <w:vAlign w:val="center"/>
          </w:tcPr>
          <w:p/>
        </w:tc>
        <w:tc>
          <w:tcPr>
            <w:tcW w:w="804" w:type="dxa"/>
            <w:vMerge/>
            <w:tcBorders>
              <w:top w:val="single" w:sz="4" w:space="0" w:color="auto"/>
              <w:left w:val="single" w:sz="4" w:space="0" w:color="auto"/>
              <w:right w:val="single" w:sz="4" w:space="0" w:color="auto"/>
            </w:tcBorders>
            <w:vAlign w:val="center"/>
          </w:tcPr>
          <w:p/>
        </w:tc>
        <w:tc>
          <w:tcPr>
            <w:tcW w:w="791" w:type="dxa"/>
            <w:vMerge/>
            <w:tcBorders>
              <w:top w:val="single" w:sz="4" w:space="0" w:color="auto"/>
              <w:left w:val="single" w:sz="4" w:space="0" w:color="auto"/>
              <w:right w:val="single" w:sz="4" w:space="0" w:color="auto"/>
            </w:tcBorders>
            <w:vAlign w:val="center"/>
          </w:tcPr>
          <w:p/>
        </w:tc>
        <w:tc>
          <w:tcPr>
            <w:tcW w:w="771"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小计</w:t>
            </w:r>
          </w:p>
        </w:tc>
        <w:tc>
          <w:tcPr>
            <w:tcW w:w="812"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基本支出</w:t>
            </w:r>
          </w:p>
        </w:tc>
        <w:tc>
          <w:tcPr>
            <w:tcW w:w="702"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项目支出</w:t>
            </w:r>
          </w:p>
        </w:tc>
        <w:tc>
          <w:tcPr>
            <w:tcW w:w="264"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小计</w:t>
            </w:r>
          </w:p>
        </w:tc>
        <w:tc>
          <w:tcPr>
            <w:tcW w:w="264"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基本支出</w:t>
            </w:r>
          </w:p>
        </w:tc>
        <w:tc>
          <w:tcPr>
            <w:tcW w:w="264"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项目支出</w:t>
            </w:r>
          </w:p>
        </w:tc>
        <w:tc>
          <w:tcPr>
            <w:tcW w:w="366"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小计</w:t>
            </w:r>
          </w:p>
        </w:tc>
        <w:tc>
          <w:tcPr>
            <w:tcW w:w="366"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基本支出</w:t>
            </w:r>
          </w:p>
        </w:tc>
        <w:tc>
          <w:tcPr>
            <w:tcW w:w="366"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项目支出</w:t>
            </w:r>
          </w:p>
        </w:tc>
        <w:tc>
          <w:tcPr>
            <w:tcW w:w="264" w:type="dxa"/>
            <w:vMerge/>
            <w:tcBorders>
              <w:top w:val="single" w:sz="4" w:space="0" w:color="auto"/>
              <w:left w:val="single" w:sz="4" w:space="0" w:color="auto"/>
              <w:right w:val="single" w:sz="4" w:space="0" w:color="auto"/>
            </w:tcBorders>
            <w:vAlign w:val="center"/>
          </w:tcPr>
          <w:p/>
        </w:tc>
        <w:tc>
          <w:tcPr>
            <w:tcW w:w="264"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小计</w:t>
            </w:r>
          </w:p>
        </w:tc>
        <w:tc>
          <w:tcPr>
            <w:tcW w:w="264"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基本支出</w:t>
            </w:r>
          </w:p>
        </w:tc>
        <w:tc>
          <w:tcPr>
            <w:tcW w:w="264"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项目支出</w:t>
            </w:r>
          </w:p>
        </w:tc>
        <w:tc>
          <w:tcPr>
            <w:tcW w:w="264"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小计</w:t>
            </w:r>
          </w:p>
        </w:tc>
        <w:tc>
          <w:tcPr>
            <w:tcW w:w="264"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基本支出</w:t>
            </w:r>
          </w:p>
        </w:tc>
        <w:tc>
          <w:tcPr>
            <w:tcW w:w="264"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项目支出</w:t>
            </w:r>
          </w:p>
        </w:tc>
        <w:tc>
          <w:tcPr>
            <w:tcW w:w="366"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小计</w:t>
            </w:r>
          </w:p>
        </w:tc>
        <w:tc>
          <w:tcPr>
            <w:tcW w:w="366"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基本支出</w:t>
            </w:r>
          </w:p>
        </w:tc>
        <w:tc>
          <w:tcPr>
            <w:tcW w:w="366"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项目支出</w:t>
            </w:r>
          </w:p>
        </w:tc>
        <w:tc>
          <w:tcPr>
            <w:tcW w:w="264" w:type="dxa"/>
            <w:vMerge/>
            <w:tcBorders>
              <w:top w:val="single" w:sz="4" w:space="0" w:color="auto"/>
              <w:left w:val="single" w:sz="4" w:space="0" w:color="auto"/>
              <w:right w:val="single" w:sz="4" w:space="0" w:color="auto"/>
            </w:tcBorders>
            <w:vAlign w:val="center"/>
          </w:tcPr>
          <w:p/>
        </w:tc>
        <w:tc>
          <w:tcPr>
            <w:tcW w:w="264"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小计</w:t>
            </w:r>
          </w:p>
        </w:tc>
        <w:tc>
          <w:tcPr>
            <w:tcW w:w="264"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基本支出</w:t>
            </w:r>
          </w:p>
        </w:tc>
        <w:tc>
          <w:tcPr>
            <w:tcW w:w="264"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项目支出</w:t>
            </w:r>
          </w:p>
        </w:tc>
        <w:tc>
          <w:tcPr>
            <w:tcW w:w="264"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小计</w:t>
            </w:r>
          </w:p>
        </w:tc>
        <w:tc>
          <w:tcPr>
            <w:tcW w:w="264"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基本支出</w:t>
            </w:r>
          </w:p>
        </w:tc>
        <w:tc>
          <w:tcPr>
            <w:tcW w:w="264"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项目支出</w:t>
            </w:r>
          </w:p>
        </w:tc>
        <w:tc>
          <w:tcPr>
            <w:tcW w:w="366"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小计</w:t>
            </w:r>
          </w:p>
        </w:tc>
        <w:tc>
          <w:tcPr>
            <w:tcW w:w="366"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基本支出</w:t>
            </w:r>
          </w:p>
        </w:tc>
        <w:tc>
          <w:tcPr>
            <w:tcW w:w="366"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项目支出</w:t>
            </w:r>
          </w:p>
        </w:tc>
        <w:tc>
          <w:tcPr>
            <w:tcW w:w="366"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小计</w:t>
            </w:r>
          </w:p>
        </w:tc>
        <w:tc>
          <w:tcPr>
            <w:tcW w:w="366" w:type="dxa"/>
            <w:tcBorders>
              <w:top w:val="single" w:sz="4" w:space="0" w:color="auto"/>
              <w:left w:val="single" w:sz="4" w:space="0" w:color="auto"/>
              <w:right w:val="single" w:sz="4" w:space="0" w:color="auto"/>
            </w:tcBorders>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基本支出</w:t>
            </w:r>
          </w:p>
        </w:tc>
        <w:tc>
          <w:tcPr>
            <w:tcW w:w="366" w:type="dxa"/>
            <w:shd w:val="clear" w:color="FFFFFF" w:fill="FFFFFF"/>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项目支出</w:t>
            </w:r>
          </w:p>
        </w:tc>
      </w:tr>
      <w:tr>
        <w:trPr>
          <w:trHeight w:val="563"/>
        </w:trPr>
        <w:tc>
          <w:tcPr>
            <w:tcW w:w="405" w:type="dxa"/>
            <w:noWrap/>
            <w:vAlign w:val="center"/>
          </w:tcPr>
          <w:p>
            <w:pPr>
              <w:widowControl/>
              <w:suppressAutoHyphens w:val="0"/>
              <w:adjustRightInd w:val="0"/>
              <w:snapToGrid w:val="0"/>
              <w:jc w:val="center"/>
              <w:rPr>
                <w:rFonts w:ascii="宋体" w:cs="宋体"/>
                <w:b/>
                <w:bCs/>
                <w:color w:val="000000"/>
                <w:kern w:val="0"/>
                <w:sz w:val="16"/>
                <w:szCs w:val="16"/>
              </w:rPr>
            </w:pPr>
          </w:p>
        </w:tc>
        <w:tc>
          <w:tcPr>
            <w:tcW w:w="26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b/>
                <w:bCs/>
                <w:color w:val="000000"/>
                <w:kern w:val="0"/>
                <w:sz w:val="16"/>
                <w:szCs w:val="16"/>
              </w:rPr>
            </w:pP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b/>
                <w:bCs/>
                <w:color w:val="000000"/>
                <w:kern w:val="0"/>
                <w:sz w:val="16"/>
                <w:szCs w:val="16"/>
              </w:rPr>
            </w:pPr>
          </w:p>
        </w:tc>
        <w:tc>
          <w:tcPr>
            <w:tcW w:w="17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b/>
                <w:bCs/>
                <w:color w:val="000000"/>
                <w:kern w:val="0"/>
                <w:sz w:val="16"/>
                <w:szCs w:val="16"/>
              </w:rPr>
            </w:pPr>
            <w:r>
              <w:rPr>
                <w:rFonts w:ascii="宋体" w:cs="宋体" w:hAnsi="宋体" w:hint="eastAsia"/>
                <w:b/>
                <w:bCs/>
                <w:color w:val="000000"/>
                <w:kern w:val="0"/>
                <w:sz w:val="16"/>
                <w:szCs w:val="16"/>
              </w:rPr>
              <w:t>合</w:t>
            </w:r>
            <w:r>
              <w:rPr>
                <w:rFonts w:ascii="宋体" w:cs="宋体" w:hAnsi="宋体"/>
                <w:b/>
                <w:bCs/>
                <w:color w:val="000000"/>
                <w:kern w:val="0"/>
                <w:sz w:val="16"/>
                <w:szCs w:val="16"/>
              </w:rPr>
              <w:t xml:space="preserve">    </w:t>
            </w:r>
            <w:r>
              <w:rPr>
                <w:rFonts w:ascii="宋体" w:cs="宋体" w:hAnsi="宋体" w:hint="eastAsia"/>
                <w:b/>
                <w:bCs/>
                <w:color w:val="000000"/>
                <w:kern w:val="0"/>
                <w:sz w:val="16"/>
                <w:szCs w:val="16"/>
              </w:rPr>
              <w:t>计</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b/>
                <w:bCs/>
                <w:color w:val="000000"/>
                <w:kern w:val="0"/>
                <w:sz w:val="16"/>
                <w:szCs w:val="16"/>
              </w:rPr>
              <w:t>2,743.50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b/>
                <w:bCs/>
                <w:color w:val="000000"/>
                <w:kern w:val="0"/>
                <w:sz w:val="16"/>
                <w:szCs w:val="16"/>
              </w:rPr>
              <w:t>2,743.50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b/>
                <w:bCs/>
                <w:color w:val="000000"/>
                <w:kern w:val="0"/>
                <w:sz w:val="16"/>
                <w:szCs w:val="16"/>
              </w:rPr>
              <w:t>2,743.50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b/>
                <w:bCs/>
                <w:color w:val="000000"/>
                <w:kern w:val="0"/>
                <w:sz w:val="16"/>
                <w:szCs w:val="16"/>
              </w:rPr>
              <w:t>2,537.05</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b/>
                <w:bCs/>
                <w:color w:val="000000"/>
                <w:kern w:val="0"/>
                <w:sz w:val="16"/>
                <w:szCs w:val="16"/>
              </w:rPr>
              <w:t>206.45</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c>
          <w:tcPr>
            <w:tcW w:w="366" w:type="dxa"/>
            <w:noWrap/>
            <w:vAlign w:val="center"/>
          </w:tcPr>
          <w:p>
            <w:pPr>
              <w:widowControl/>
              <w:suppressAutoHyphens w:val="0"/>
              <w:adjustRightInd w:val="0"/>
              <w:snapToGrid w:val="0"/>
              <w:jc w:val="right"/>
              <w:rPr>
                <w:rFonts w:ascii="宋体" w:cs="宋体"/>
                <w:b/>
                <w:bCs/>
                <w:color w:val="000000"/>
                <w:kern w:val="0"/>
                <w:sz w:val="16"/>
                <w:szCs w:val="16"/>
              </w:rPr>
            </w:pPr>
            <w:r>
              <w:rPr>
                <w:rFonts w:ascii="宋体" w:cs="宋体" w:hAnsi="宋体" w:hint="eastAsia"/>
                <w:b/>
                <w:bCs/>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2,743.50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2,743.50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2,743.50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2,537.05</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206.45</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广元市经济和信息化局</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2,743.50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2,743.50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2,743.50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2,537.05</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206.45</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工资福利支出</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1,812.88</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1,812.88</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1,812.88</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1,812.88</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01</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基本工资</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522.13</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522.13</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522.13</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522.13</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01</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晋级工资</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6.05</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6.05</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6.05</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6.05</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01</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基本工资</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516.09</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516.09</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516.09</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516.09</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02</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津贴补贴</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220.69</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220.69</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220.69</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220.69</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02</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公务员规范津贴补贴</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205.80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205.80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205.80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205.80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02</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艰苦边远地区津贴</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1.65</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1.65</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1.65</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1.65</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02</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乡镇工作补贴</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1.20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1.20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1.20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1.20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02</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其他津贴补贴（含工改、审计等）</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12.04</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12.04</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12.04</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12.04</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03</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奖金</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510.93</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510.93</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510.93</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510.93</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03</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年终一次性奖励工资</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29.13</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29.13</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29.13</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29.13</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03</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olor w:val="000000"/>
                <w:kern w:val="0"/>
                <w:sz w:val="16"/>
                <w:szCs w:val="16"/>
              </w:rPr>
            </w:pPr>
            <w:r>
              <w:rPr>
                <w:rFonts w:ascii="宋体" w:hAnsi="宋体" w:hint="eastAsia"/>
                <w:color w:val="000000"/>
                <w:kern w:val="0"/>
                <w:sz w:val="16"/>
                <w:szCs w:val="16"/>
              </w:rPr>
              <w:t>优秀公务员奖励</w:t>
            </w:r>
          </w:p>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（参公人员）</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2.05</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2.05</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2.05</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2.05</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03</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基础绩效奖</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390.16</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390.16</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390.16</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390.16</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03</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公务员年度考核奖</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57.60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57.60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57.60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57.60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03</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事业人员年度考核奖</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32.00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32.00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32.00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32.00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07</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绩效工资</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114.86</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114.86</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114.86</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114.86</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08</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机关事业单位基本养老保险缴费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202.71</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202.71</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202.71</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202.71</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10</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职工基本医疗保险缴费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65.76</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65.76</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65.76</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65.76</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12</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其他社会保障缴费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4.47</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4.47</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4.47</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4.47</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12</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失业保险</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1.93</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1.93</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1.93</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1.93</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12</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工伤保险</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2.53</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2.53</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2.53</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2.53</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301</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13</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住房公积金</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171.33</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171.33</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171.33</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171.33</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商品和服务支出</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570.25</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570.25</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570.25</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363.80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206.45</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01</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办公费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58.10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58.10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58.10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15.00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43.10</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02</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印刷费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4.00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4.00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4.00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4.00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05</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水费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6.00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6.00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6.00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6.00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06</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电费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15.00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15.00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15.00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15.00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07</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邮电费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32.00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32.00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32.00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32.00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09</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物业管理费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18.00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18.00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18.00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18.00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11</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差旅费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96.00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96.00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96.00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18.00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78.00</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13</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维修（护）费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8.00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8.00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8.00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8.00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14</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租赁费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53.35</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53.35</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53.35</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53.35</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15</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会议费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16</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培训费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17</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公务接待费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6.44</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6.44</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6.44</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3.44</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3.00</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26</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劳务费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8.00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8.00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8.00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8.00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28</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工会经费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10.52</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10.52</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10.52</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10.52</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29</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福利费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36.73</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36.73</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36.73</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36.73</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29</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福利费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15.81</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15.81</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15.81</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15.81</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29</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食堂补助经费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20.92</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20.92</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20.92</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20.92</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31</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公务用车运行维护费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22.50</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22.50</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22.50</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22.50</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39</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其他交通费用</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89.97</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89.97</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89.97</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67.97</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22.00</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99</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其他商品和服务支出</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101.64</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101.64</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101.64</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94.64</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7.00</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99</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党建经费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38.99</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38.99</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38.99</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38.99</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99</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退休人员活动经费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9.89</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9.89</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9.89</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9.89</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99</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食堂补助经费</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39.08</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39.08</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39.08</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39.08</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302</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99</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其他商品和服务支出</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13.68</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13.68</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13.68</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6.68</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7.00</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对个人和家庭的补助</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354.38</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354.38</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354.38</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354.38</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303</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05</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生活补助</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354.38</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354.38</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354.38</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354.38</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303</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05</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退休人员绩效补助</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345.24</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345.24</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345.24</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345.24</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303</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05</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遗属生活补助</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9.14</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9.14</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9.14</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9.14</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vAlign w:val="center"/>
          </w:tcPr>
          <w:p>
            <w:pPr>
              <w:widowControl/>
              <w:suppressAutoHyphens w:val="0"/>
              <w:adjustRightInd w:val="0"/>
              <w:snapToGrid w:val="0"/>
              <w:jc w:val="center"/>
              <w:rPr>
                <w:rFonts w:ascii="宋体" w:cs="宋体"/>
                <w:color w:val="000000"/>
                <w:kern w:val="0"/>
                <w:sz w:val="16"/>
                <w:szCs w:val="16"/>
              </w:rPr>
            </w:pP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资本性支出</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5.98</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5.98</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5.98</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5.98</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r>
        <w:trPr>
          <w:trHeight w:val="399"/>
        </w:trPr>
        <w:tc>
          <w:tcPr>
            <w:tcW w:w="405" w:type="dxa"/>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310</w:t>
            </w:r>
          </w:p>
        </w:tc>
        <w:tc>
          <w:tcPr>
            <w:tcW w:w="263"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color w:val="000000"/>
                <w:kern w:val="0"/>
                <w:sz w:val="16"/>
                <w:szCs w:val="16"/>
              </w:rPr>
              <w:t>02</w:t>
            </w:r>
          </w:p>
        </w:tc>
        <w:tc>
          <w:tcPr>
            <w:tcW w:w="593"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6"/>
                <w:szCs w:val="16"/>
              </w:rPr>
            </w:pPr>
            <w:r>
              <w:rPr>
                <w:rFonts w:ascii="宋体" w:cs="宋体" w:hAnsi="宋体"/>
                <w:color w:val="000000"/>
                <w:kern w:val="0"/>
                <w:sz w:val="16"/>
                <w:szCs w:val="16"/>
              </w:rPr>
              <w:t>328001</w:t>
            </w:r>
          </w:p>
        </w:tc>
        <w:tc>
          <w:tcPr>
            <w:tcW w:w="1704"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6"/>
                <w:szCs w:val="16"/>
              </w:rPr>
            </w:pPr>
            <w:r>
              <w:rPr>
                <w:rFonts w:ascii="宋体" w:hAnsi="宋体" w:hint="eastAsia"/>
                <w:color w:val="000000"/>
                <w:kern w:val="0"/>
                <w:sz w:val="16"/>
                <w:szCs w:val="16"/>
              </w:rPr>
              <w:t>办公设备购置</w:t>
            </w:r>
          </w:p>
        </w:tc>
        <w:tc>
          <w:tcPr>
            <w:tcW w:w="80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5.98</w:t>
            </w:r>
          </w:p>
        </w:tc>
        <w:tc>
          <w:tcPr>
            <w:tcW w:w="79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5.98</w:t>
            </w:r>
          </w:p>
        </w:tc>
        <w:tc>
          <w:tcPr>
            <w:tcW w:w="771"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5.98</w:t>
            </w:r>
          </w:p>
        </w:tc>
        <w:tc>
          <w:tcPr>
            <w:tcW w:w="81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color w:val="000000"/>
                <w:kern w:val="0"/>
                <w:sz w:val="16"/>
                <w:szCs w:val="16"/>
              </w:rPr>
              <w:t>5.98</w:t>
            </w:r>
          </w:p>
        </w:tc>
        <w:tc>
          <w:tcPr>
            <w:tcW w:w="702"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264"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c>
          <w:tcPr>
            <w:tcW w:w="366" w:type="dxa"/>
            <w:noWrap/>
            <w:vAlign w:val="center"/>
          </w:tcPr>
          <w:p>
            <w:pPr>
              <w:widowControl/>
              <w:suppressAutoHyphens w:val="0"/>
              <w:adjustRightInd w:val="0"/>
              <w:snapToGrid w:val="0"/>
              <w:jc w:val="right"/>
              <w:rPr>
                <w:rFonts w:ascii="宋体" w:cs="宋体"/>
                <w:color w:val="000000"/>
                <w:kern w:val="0"/>
                <w:sz w:val="16"/>
                <w:szCs w:val="16"/>
              </w:rPr>
            </w:pPr>
            <w:r>
              <w:rPr>
                <w:rFonts w:ascii="宋体" w:cs="宋体" w:hAnsi="宋体" w:hint="eastAsia"/>
                <w:color w:val="000000"/>
                <w:kern w:val="0"/>
                <w:sz w:val="16"/>
                <w:szCs w:val="16"/>
              </w:rPr>
              <w:t>　</w:t>
            </w:r>
          </w:p>
        </w:tc>
      </w:tr>
    </w:tbl>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r>
        <w:rPr>
          <w:rFonts w:ascii="黑体" w:eastAsia="黑体" w:cs="方正小标宋简体" w:hAnsi="黑体" w:hint="eastAsia"/>
          <w:color w:val="000000"/>
          <w:kern w:val="0"/>
          <w:sz w:val="32"/>
          <w:szCs w:val="32"/>
          <w:shd w:val="clear" w:color="auto" w:fill="FFFFFF"/>
        </w:rPr>
        <w:t>表</w:t>
      </w:r>
      <w:r>
        <w:rPr>
          <w:rFonts w:ascii="黑体" w:eastAsia="黑体" w:cs="方正小标宋简体" w:hAnsi="黑体"/>
          <w:color w:val="000000"/>
          <w:kern w:val="0"/>
          <w:sz w:val="32"/>
          <w:szCs w:val="32"/>
          <w:shd w:val="clear" w:color="auto" w:fill="FFFFFF"/>
        </w:rPr>
        <w:t>6</w:t>
      </w:r>
    </w:p>
    <w:p>
      <w:pPr>
        <w:adjustRightInd w:val="0"/>
        <w:snapToGrid w:val="0"/>
        <w:jc w:val="center"/>
        <w:outlineLvl w:val="0"/>
        <w:rPr>
          <w:rFonts w:ascii="方正小标宋简体" w:eastAsia="方正小标宋简体" w:cs="方正小标宋简体" w:hAnsi="方正小标宋简体"/>
          <w:color w:val="000000"/>
          <w:kern w:val="0"/>
          <w:sz w:val="44"/>
          <w:szCs w:val="44"/>
          <w:shd w:val="clear" w:color="auto" w:fill="FFFFFF"/>
        </w:rPr>
      </w:pPr>
      <w:bookmarkStart w:id="22" w:name="_Toc188545368"/>
      <w:bookmarkStart w:id="23" w:name="_Toc188545589"/>
      <w:r>
        <w:rPr>
          <w:rFonts w:ascii="方正小标宋简体" w:eastAsia="方正小标宋简体" w:cs="方正小标宋简体" w:hAnsi="方正小标宋简体" w:hint="eastAsia"/>
          <w:color w:val="000000"/>
          <w:kern w:val="0"/>
          <w:sz w:val="44"/>
          <w:szCs w:val="44"/>
          <w:shd w:val="clear" w:color="auto" w:fill="FFFFFF"/>
        </w:rPr>
        <w:t>一般公共预算支出预算表</w:t>
      </w:r>
      <w:bookmarkEnd w:id="22"/>
      <w:bookmarkEnd w:id="23"/>
    </w:p>
    <w:p>
      <w:pPr>
        <w:adjustRightInd w:val="0"/>
        <w:snapToGrid w:val="0"/>
        <w:spacing w:beforeLines="50" w:before="156" w:afterLines="20" w:after="62"/>
        <w:rPr>
          <w:rFonts w:ascii="仿宋_GB2312" w:eastAsia="仿宋_GB2312" w:cs="仿宋_GB2312" w:hAnsi="仿宋_GB2312"/>
          <w:sz w:val="28"/>
          <w:szCs w:val="28"/>
        </w:rPr>
      </w:pPr>
      <w:r>
        <w:rPr>
          <w:rFonts w:ascii="仿宋_GB2312" w:eastAsia="仿宋_GB2312" w:cs="仿宋_GB2312" w:hAnsi="仿宋_GB2312" w:hint="eastAsia"/>
          <w:sz w:val="28"/>
          <w:szCs w:val="28"/>
        </w:rPr>
        <w:t>部门：</w:t>
      </w:r>
      <w:r>
        <w:rPr>
          <w:rFonts w:ascii="仿宋_GB2312" w:eastAsia="仿宋_GB2312" w:cs="仿宋_GB2312" w:hAnsi="仿宋_GB2312"/>
          <w:sz w:val="28"/>
          <w:szCs w:val="28"/>
        </w:rPr>
        <w:tab/>
        <w:tab/>
        <w:t xml:space="preserve">                                                                      </w:t>
        <w:tab/>
      </w:r>
      <w:r>
        <w:rPr>
          <w:rFonts w:ascii="仿宋_GB2312" w:eastAsia="仿宋_GB2312" w:cs="仿宋_GB2312" w:hAnsi="仿宋_GB2312" w:hint="eastAsia"/>
          <w:sz w:val="28"/>
          <w:szCs w:val="28"/>
        </w:rPr>
        <w:t>金额单位：万元</w:t>
      </w:r>
    </w:p>
    <w:tbl>
      <w:tblPr>
        <w:jc w:val="center"/>
        <w:tblW w:w="14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3"/>
        <w:gridCol w:w="714"/>
        <w:gridCol w:w="714"/>
        <w:gridCol w:w="1676"/>
        <w:gridCol w:w="5162"/>
        <w:gridCol w:w="1847"/>
        <w:gridCol w:w="1847"/>
        <w:gridCol w:w="1846"/>
      </w:tblGrid>
      <w:tr>
        <w:trPr>
          <w:trHeight w:val="408"/>
        </w:trPr>
        <w:tc>
          <w:tcPr>
            <w:tcW w:w="8979" w:type="dxa"/>
            <w:gridSpan w:val="5"/>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目</w:t>
            </w:r>
          </w:p>
        </w:tc>
        <w:tc>
          <w:tcPr>
            <w:tcW w:w="1847"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合计</w:t>
            </w:r>
          </w:p>
        </w:tc>
        <w:tc>
          <w:tcPr>
            <w:tcW w:w="1847" w:type="dxa"/>
            <w:vMerge w:val="restart"/>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当年财政拨款</w:t>
            </w:r>
          </w:p>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安排</w:t>
            </w:r>
          </w:p>
        </w:tc>
        <w:tc>
          <w:tcPr>
            <w:tcW w:w="1846" w:type="dxa"/>
            <w:vMerge w:val="restart"/>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上年结转安排</w:t>
            </w:r>
          </w:p>
        </w:tc>
      </w:tr>
      <w:tr>
        <w:trPr>
          <w:trHeight w:val="408"/>
        </w:trPr>
        <w:tc>
          <w:tcPr>
            <w:tcW w:w="2141" w:type="dxa"/>
            <w:gridSpan w:val="3"/>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科目编码</w:t>
            </w:r>
          </w:p>
        </w:tc>
        <w:tc>
          <w:tcPr>
            <w:tcW w:w="1676"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单位代码</w:t>
            </w:r>
          </w:p>
        </w:tc>
        <w:tc>
          <w:tcPr>
            <w:tcW w:w="5162"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单位名称（科目）</w:t>
            </w:r>
          </w:p>
        </w:tc>
        <w:tc>
          <w:tcPr>
            <w:tcW w:w="1847" w:type="dxa"/>
            <w:vMerge/>
            <w:tcBorders>
              <w:top w:val="single" w:sz="4" w:space="0" w:color="auto"/>
              <w:left w:val="single" w:sz="4" w:space="0" w:color="auto"/>
              <w:right w:val="single" w:sz="4" w:space="0" w:color="auto"/>
            </w:tcBorders>
            <w:vAlign w:val="center"/>
          </w:tcPr>
          <w:p/>
        </w:tc>
        <w:tc>
          <w:tcPr>
            <w:tcW w:w="1847" w:type="dxa"/>
            <w:vMerge/>
            <w:tcBorders>
              <w:top w:val="single" w:sz="4" w:space="0" w:color="auto"/>
              <w:left w:val="single" w:sz="4" w:space="0" w:color="auto"/>
              <w:right w:val="single" w:sz="4" w:space="0" w:color="auto"/>
            </w:tcBorders>
            <w:vAlign w:val="center"/>
          </w:tcPr>
          <w:p/>
        </w:tc>
        <w:tc>
          <w:tcPr>
            <w:tcW w:w="1846" w:type="dxa"/>
            <w:vMerge/>
            <w:vAlign w:val="center"/>
          </w:tcPr>
          <w:p/>
        </w:tc>
      </w:tr>
      <w:tr>
        <w:trPr>
          <w:trHeight w:val="408"/>
        </w:trPr>
        <w:tc>
          <w:tcPr>
            <w:tcW w:w="713" w:type="dxa"/>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类</w:t>
            </w: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款</w:t>
            </w: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w:t>
            </w:r>
          </w:p>
        </w:tc>
        <w:tc>
          <w:tcPr>
            <w:tcW w:w="1676" w:type="dxa"/>
            <w:vMerge/>
            <w:tcBorders>
              <w:top w:val="single" w:sz="4" w:space="0" w:color="auto"/>
              <w:left w:val="single" w:sz="4" w:space="0" w:color="auto"/>
              <w:right w:val="single" w:sz="4" w:space="0" w:color="auto"/>
            </w:tcBorders>
            <w:vAlign w:val="center"/>
          </w:tcPr>
          <w:p/>
        </w:tc>
        <w:tc>
          <w:tcPr>
            <w:tcW w:w="5162" w:type="dxa"/>
            <w:vMerge/>
            <w:tcBorders>
              <w:top w:val="single" w:sz="4" w:space="0" w:color="auto"/>
              <w:left w:val="single" w:sz="4" w:space="0" w:color="auto"/>
              <w:right w:val="single" w:sz="4" w:space="0" w:color="auto"/>
            </w:tcBorders>
            <w:vAlign w:val="center"/>
          </w:tcPr>
          <w:p/>
        </w:tc>
        <w:tc>
          <w:tcPr>
            <w:tcW w:w="1847" w:type="dxa"/>
            <w:vMerge/>
            <w:tcBorders>
              <w:top w:val="single" w:sz="4" w:space="0" w:color="auto"/>
              <w:left w:val="single" w:sz="4" w:space="0" w:color="auto"/>
              <w:right w:val="single" w:sz="4" w:space="0" w:color="auto"/>
            </w:tcBorders>
            <w:vAlign w:val="center"/>
          </w:tcPr>
          <w:p/>
        </w:tc>
        <w:tc>
          <w:tcPr>
            <w:tcW w:w="1847" w:type="dxa"/>
            <w:vMerge/>
            <w:tcBorders>
              <w:top w:val="single" w:sz="4" w:space="0" w:color="auto"/>
              <w:left w:val="single" w:sz="4" w:space="0" w:color="auto"/>
              <w:right w:val="single" w:sz="4" w:space="0" w:color="auto"/>
            </w:tcBorders>
            <w:vAlign w:val="center"/>
          </w:tcPr>
          <w:p/>
        </w:tc>
        <w:tc>
          <w:tcPr>
            <w:tcW w:w="1846" w:type="dxa"/>
            <w:vMerge/>
            <w:vAlign w:val="center"/>
          </w:tcPr>
          <w:p/>
        </w:tc>
      </w:tr>
      <w:tr>
        <w:trPr>
          <w:trHeight w:val="576"/>
        </w:trPr>
        <w:tc>
          <w:tcPr>
            <w:tcW w:w="713" w:type="dxa"/>
            <w:noWrap/>
            <w:vAlign w:val="center"/>
          </w:tcPr>
          <w:p>
            <w:pPr>
              <w:widowControl/>
              <w:suppressAutoHyphens w:val="0"/>
              <w:jc w:val="center"/>
              <w:rPr>
                <w:rFonts w:ascii="宋体" w:cs="宋体"/>
                <w:b/>
                <w:bCs/>
                <w:color w:val="000000"/>
                <w:kern w:val="0"/>
                <w:sz w:val="22"/>
                <w:szCs w:val="22"/>
              </w:rPr>
            </w:pPr>
          </w:p>
        </w:tc>
        <w:tc>
          <w:tcPr>
            <w:tcW w:w="714"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714"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1676"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5162"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计</w:t>
            </w:r>
          </w:p>
        </w:tc>
        <w:tc>
          <w:tcPr>
            <w:tcW w:w="1847"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2,743.50</w:t>
            </w:r>
          </w:p>
        </w:tc>
        <w:tc>
          <w:tcPr>
            <w:tcW w:w="1847"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2,743.50</w:t>
            </w:r>
          </w:p>
        </w:tc>
        <w:tc>
          <w:tcPr>
            <w:tcW w:w="1846" w:type="dxa"/>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r>
      <w:tr>
        <w:trPr>
          <w:trHeight w:val="576"/>
        </w:trPr>
        <w:tc>
          <w:tcPr>
            <w:tcW w:w="713" w:type="dxa"/>
            <w:shd w:val="clear" w:color="FFFFFF" w:fill="FFFFFF"/>
            <w:noWrap/>
            <w:vAlign w:val="center"/>
          </w:tcPr>
          <w:p>
            <w:pPr>
              <w:widowControl/>
              <w:suppressAutoHyphens w:val="0"/>
              <w:jc w:val="center"/>
              <w:rPr>
                <w:rFonts w:ascii="宋体" w:cs="宋体"/>
                <w:color w:val="000000"/>
                <w:kern w:val="0"/>
                <w:sz w:val="22"/>
                <w:szCs w:val="22"/>
              </w:rPr>
            </w:pP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16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5162"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847"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2,743.50</w:t>
            </w:r>
          </w:p>
        </w:tc>
        <w:tc>
          <w:tcPr>
            <w:tcW w:w="1847"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2,743.50</w:t>
            </w:r>
          </w:p>
        </w:tc>
        <w:tc>
          <w:tcPr>
            <w:tcW w:w="184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576"/>
        </w:trPr>
        <w:tc>
          <w:tcPr>
            <w:tcW w:w="713" w:type="dxa"/>
            <w:shd w:val="clear" w:color="FFFFFF" w:fill="FFFFFF"/>
            <w:noWrap/>
            <w:vAlign w:val="center"/>
          </w:tcPr>
          <w:p>
            <w:pPr>
              <w:widowControl/>
              <w:suppressAutoHyphens w:val="0"/>
              <w:jc w:val="center"/>
              <w:rPr>
                <w:rFonts w:ascii="宋体" w:cs="宋体"/>
                <w:color w:val="000000"/>
                <w:kern w:val="0"/>
                <w:sz w:val="22"/>
                <w:szCs w:val="22"/>
              </w:rPr>
            </w:pP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16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5162"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广元市经济和信息化局部门</w:t>
            </w:r>
          </w:p>
        </w:tc>
        <w:tc>
          <w:tcPr>
            <w:tcW w:w="1847"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2,743.50</w:t>
            </w:r>
          </w:p>
        </w:tc>
        <w:tc>
          <w:tcPr>
            <w:tcW w:w="1847"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2,743.50</w:t>
            </w:r>
          </w:p>
        </w:tc>
        <w:tc>
          <w:tcPr>
            <w:tcW w:w="184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576"/>
        </w:trPr>
        <w:tc>
          <w:tcPr>
            <w:tcW w:w="713"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201</w:t>
            </w: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03</w:t>
            </w: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01</w:t>
            </w:r>
          </w:p>
        </w:tc>
        <w:tc>
          <w:tcPr>
            <w:tcW w:w="16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w:t>
            </w:r>
          </w:p>
        </w:tc>
        <w:tc>
          <w:tcPr>
            <w:tcW w:w="5162"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行政运行</w:t>
            </w:r>
          </w:p>
        </w:tc>
        <w:tc>
          <w:tcPr>
            <w:tcW w:w="1847"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2,092.79</w:t>
            </w:r>
          </w:p>
        </w:tc>
        <w:tc>
          <w:tcPr>
            <w:tcW w:w="1847"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2,092.79</w:t>
            </w:r>
          </w:p>
        </w:tc>
        <w:tc>
          <w:tcPr>
            <w:tcW w:w="1846"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576"/>
        </w:trPr>
        <w:tc>
          <w:tcPr>
            <w:tcW w:w="713"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201</w:t>
            </w: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03</w:t>
            </w: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02</w:t>
            </w:r>
          </w:p>
        </w:tc>
        <w:tc>
          <w:tcPr>
            <w:tcW w:w="16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w:t>
            </w:r>
          </w:p>
        </w:tc>
        <w:tc>
          <w:tcPr>
            <w:tcW w:w="5162"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一般行政管理事务</w:t>
            </w:r>
          </w:p>
        </w:tc>
        <w:tc>
          <w:tcPr>
            <w:tcW w:w="1847"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206.45</w:t>
            </w:r>
          </w:p>
        </w:tc>
        <w:tc>
          <w:tcPr>
            <w:tcW w:w="1847"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206.45</w:t>
            </w:r>
          </w:p>
        </w:tc>
        <w:tc>
          <w:tcPr>
            <w:tcW w:w="1846"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576"/>
        </w:trPr>
        <w:tc>
          <w:tcPr>
            <w:tcW w:w="713"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208</w:t>
            </w: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05</w:t>
            </w: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05</w:t>
            </w:r>
          </w:p>
        </w:tc>
        <w:tc>
          <w:tcPr>
            <w:tcW w:w="16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w:t>
            </w:r>
          </w:p>
        </w:tc>
        <w:tc>
          <w:tcPr>
            <w:tcW w:w="5162"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机关事业单位基本养老保险缴费支出</w:t>
            </w:r>
          </w:p>
        </w:tc>
        <w:tc>
          <w:tcPr>
            <w:tcW w:w="1847"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202.71</w:t>
            </w:r>
          </w:p>
        </w:tc>
        <w:tc>
          <w:tcPr>
            <w:tcW w:w="1847"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202.71</w:t>
            </w:r>
          </w:p>
        </w:tc>
        <w:tc>
          <w:tcPr>
            <w:tcW w:w="1846"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576"/>
        </w:trPr>
        <w:tc>
          <w:tcPr>
            <w:tcW w:w="713"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208</w:t>
            </w: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99</w:t>
            </w: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99</w:t>
            </w:r>
          </w:p>
        </w:tc>
        <w:tc>
          <w:tcPr>
            <w:tcW w:w="16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w:t>
            </w:r>
          </w:p>
        </w:tc>
        <w:tc>
          <w:tcPr>
            <w:tcW w:w="5162"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其他社会保障和就业支出</w:t>
            </w:r>
          </w:p>
        </w:tc>
        <w:tc>
          <w:tcPr>
            <w:tcW w:w="1847"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4.47</w:t>
            </w:r>
          </w:p>
        </w:tc>
        <w:tc>
          <w:tcPr>
            <w:tcW w:w="1847"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4.47</w:t>
            </w:r>
          </w:p>
        </w:tc>
        <w:tc>
          <w:tcPr>
            <w:tcW w:w="1846"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576"/>
        </w:trPr>
        <w:tc>
          <w:tcPr>
            <w:tcW w:w="713"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210</w:t>
            </w: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11</w:t>
            </w: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01</w:t>
            </w:r>
          </w:p>
        </w:tc>
        <w:tc>
          <w:tcPr>
            <w:tcW w:w="16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w:t>
            </w:r>
          </w:p>
        </w:tc>
        <w:tc>
          <w:tcPr>
            <w:tcW w:w="5162"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行政单位医疗</w:t>
            </w:r>
          </w:p>
        </w:tc>
        <w:tc>
          <w:tcPr>
            <w:tcW w:w="1847"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65.76</w:t>
            </w:r>
          </w:p>
        </w:tc>
        <w:tc>
          <w:tcPr>
            <w:tcW w:w="1847"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65.76</w:t>
            </w:r>
          </w:p>
        </w:tc>
        <w:tc>
          <w:tcPr>
            <w:tcW w:w="1846"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576"/>
        </w:trPr>
        <w:tc>
          <w:tcPr>
            <w:tcW w:w="713"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221</w:t>
            </w: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02</w:t>
            </w:r>
          </w:p>
        </w:tc>
        <w:tc>
          <w:tcPr>
            <w:tcW w:w="71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01</w:t>
            </w:r>
          </w:p>
        </w:tc>
        <w:tc>
          <w:tcPr>
            <w:tcW w:w="167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w:t>
            </w:r>
          </w:p>
        </w:tc>
        <w:tc>
          <w:tcPr>
            <w:tcW w:w="5162"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住房公积金</w:t>
            </w:r>
          </w:p>
        </w:tc>
        <w:tc>
          <w:tcPr>
            <w:tcW w:w="1847"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171.33</w:t>
            </w:r>
          </w:p>
        </w:tc>
        <w:tc>
          <w:tcPr>
            <w:tcW w:w="1847"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171.33</w:t>
            </w:r>
          </w:p>
        </w:tc>
        <w:tc>
          <w:tcPr>
            <w:tcW w:w="1846"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bl>
    <w:p>
      <w:pPr>
        <w:spacing w:line="576" w:lineRule="exact"/>
        <w:rPr>
          <w:rFonts w:ascii="仿宋_GB2312" w:eastAsia="仿宋_GB2312" w:cs="仿宋_GB2312" w:hAnsi="仿宋_GB2312"/>
          <w:sz w:val="32"/>
          <w:szCs w:val="32"/>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r>
        <w:rPr>
          <w:rFonts w:ascii="黑体" w:eastAsia="黑体" w:cs="方正小标宋简体" w:hAnsi="黑体" w:hint="eastAsia"/>
          <w:color w:val="000000"/>
          <w:kern w:val="0"/>
          <w:sz w:val="32"/>
          <w:szCs w:val="32"/>
          <w:shd w:val="clear" w:color="auto" w:fill="FFFFFF"/>
        </w:rPr>
        <w:t>表</w:t>
      </w:r>
      <w:r>
        <w:rPr>
          <w:rFonts w:ascii="黑体" w:eastAsia="黑体" w:cs="方正小标宋简体" w:hAnsi="黑体"/>
          <w:color w:val="000000"/>
          <w:kern w:val="0"/>
          <w:sz w:val="32"/>
          <w:szCs w:val="32"/>
          <w:shd w:val="clear" w:color="auto" w:fill="FFFFFF"/>
        </w:rPr>
        <w:t>7</w:t>
      </w:r>
    </w:p>
    <w:p>
      <w:pPr>
        <w:adjustRightInd w:val="0"/>
        <w:snapToGrid w:val="0"/>
        <w:jc w:val="center"/>
        <w:outlineLvl w:val="0"/>
        <w:rPr>
          <w:rFonts w:ascii="方正小标宋简体" w:eastAsia="方正小标宋简体" w:cs="方正小标宋简体" w:hAnsi="方正小标宋简体"/>
          <w:color w:val="000000"/>
          <w:kern w:val="0"/>
          <w:sz w:val="44"/>
          <w:szCs w:val="44"/>
          <w:shd w:val="clear" w:color="auto" w:fill="FFFFFF"/>
        </w:rPr>
      </w:pPr>
      <w:bookmarkStart w:id="24" w:name="_Toc188545590"/>
      <w:bookmarkStart w:id="25" w:name="_Toc188545369"/>
      <w:r>
        <w:rPr>
          <w:rFonts w:ascii="方正小标宋简体" w:eastAsia="方正小标宋简体" w:cs="方正小标宋简体" w:hAnsi="方正小标宋简体" w:hint="eastAsia"/>
          <w:color w:val="000000"/>
          <w:kern w:val="0"/>
          <w:sz w:val="44"/>
          <w:szCs w:val="44"/>
          <w:shd w:val="clear" w:color="auto" w:fill="FFFFFF"/>
        </w:rPr>
        <w:t>一般公共预算基本支出预算表</w:t>
      </w:r>
      <w:bookmarkEnd w:id="24"/>
      <w:bookmarkEnd w:id="25"/>
    </w:p>
    <w:p>
      <w:pPr>
        <w:adjustRightInd w:val="0"/>
        <w:snapToGrid w:val="0"/>
        <w:rPr>
          <w:rFonts w:ascii="仿宋_GB2312" w:eastAsia="仿宋_GB2312" w:cs="仿宋_GB2312" w:hAnsi="仿宋_GB2312"/>
          <w:sz w:val="28"/>
          <w:szCs w:val="28"/>
        </w:rPr>
      </w:pPr>
      <w:r>
        <w:rPr>
          <w:rFonts w:ascii="仿宋_GB2312" w:eastAsia="仿宋_GB2312" w:cs="仿宋_GB2312" w:hAnsi="仿宋_GB2312" w:hint="eastAsia"/>
          <w:sz w:val="28"/>
          <w:szCs w:val="28"/>
        </w:rPr>
        <w:t>部门：</w:t>
      </w:r>
      <w:r>
        <w:rPr>
          <w:rFonts w:ascii="仿宋_GB2312" w:eastAsia="仿宋_GB2312" w:cs="仿宋_GB2312" w:hAnsi="仿宋_GB2312"/>
          <w:sz w:val="28"/>
          <w:szCs w:val="28"/>
        </w:rPr>
        <w:tab/>
        <w:tab/>
        <w:t xml:space="preserve">                                                                      </w:t>
        <w:tab/>
      </w:r>
      <w:r>
        <w:rPr>
          <w:rFonts w:ascii="仿宋_GB2312" w:eastAsia="仿宋_GB2312" w:cs="仿宋_GB2312" w:hAnsi="仿宋_GB2312" w:hint="eastAsia"/>
          <w:sz w:val="28"/>
          <w:szCs w:val="28"/>
        </w:rPr>
        <w:t>金额单位：万元</w:t>
      </w:r>
    </w:p>
    <w:tbl>
      <w:tblPr>
        <w:jc w:val="left"/>
        <w:tblInd w:w="95" w:type="dxa"/>
        <w:tblW w:w="13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49"/>
        <w:gridCol w:w="938"/>
        <w:gridCol w:w="1848"/>
        <w:gridCol w:w="4468"/>
        <w:gridCol w:w="2041"/>
        <w:gridCol w:w="1762"/>
        <w:gridCol w:w="1756"/>
      </w:tblGrid>
      <w:tr>
        <w:trPr>
          <w:trHeight w:val="369"/>
          <w:tblHeader/>
        </w:trPr>
        <w:tc>
          <w:tcPr>
            <w:tcW w:w="8303" w:type="dxa"/>
            <w:gridSpan w:val="4"/>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目</w:t>
            </w:r>
          </w:p>
        </w:tc>
        <w:tc>
          <w:tcPr>
            <w:tcW w:w="5559" w:type="dxa"/>
            <w:gridSpan w:val="3"/>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基本支出</w:t>
            </w:r>
          </w:p>
        </w:tc>
      </w:tr>
      <w:tr>
        <w:trPr>
          <w:trHeight w:val="369"/>
          <w:tblHeader/>
        </w:trPr>
        <w:tc>
          <w:tcPr>
            <w:tcW w:w="1987" w:type="dxa"/>
            <w:gridSpan w:val="2"/>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科目编码</w:t>
            </w:r>
          </w:p>
        </w:tc>
        <w:tc>
          <w:tcPr>
            <w:tcW w:w="1848"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单位代码</w:t>
            </w:r>
          </w:p>
        </w:tc>
        <w:tc>
          <w:tcPr>
            <w:tcW w:w="4468"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单位名称（科目）</w:t>
            </w:r>
          </w:p>
        </w:tc>
        <w:tc>
          <w:tcPr>
            <w:tcW w:w="2041"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合计</w:t>
            </w:r>
          </w:p>
        </w:tc>
        <w:tc>
          <w:tcPr>
            <w:tcW w:w="1762"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人员经费</w:t>
            </w:r>
          </w:p>
        </w:tc>
        <w:tc>
          <w:tcPr>
            <w:tcW w:w="1756"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公用经费</w:t>
            </w:r>
          </w:p>
        </w:tc>
      </w:tr>
      <w:tr>
        <w:trPr>
          <w:trHeight w:val="369"/>
        </w:trPr>
        <w:tc>
          <w:tcPr>
            <w:tcW w:w="1049" w:type="dxa"/>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类</w:t>
            </w:r>
          </w:p>
        </w:tc>
        <w:tc>
          <w:tcPr>
            <w:tcW w:w="938"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款</w:t>
            </w:r>
          </w:p>
        </w:tc>
        <w:tc>
          <w:tcPr>
            <w:tcW w:w="1848" w:type="dxa"/>
            <w:vMerge/>
            <w:tcBorders>
              <w:top w:val="single" w:sz="4" w:space="0" w:color="auto"/>
              <w:left w:val="single" w:sz="4" w:space="0" w:color="auto"/>
              <w:right w:val="single" w:sz="4" w:space="0" w:color="auto"/>
            </w:tcBorders>
            <w:vAlign w:val="center"/>
          </w:tcPr>
          <w:p/>
        </w:tc>
        <w:tc>
          <w:tcPr>
            <w:tcW w:w="4468" w:type="dxa"/>
            <w:vMerge/>
            <w:tcBorders>
              <w:top w:val="single" w:sz="4" w:space="0" w:color="auto"/>
              <w:left w:val="single" w:sz="4" w:space="0" w:color="auto"/>
              <w:right w:val="single" w:sz="4" w:space="0" w:color="auto"/>
            </w:tcBorders>
            <w:vAlign w:val="center"/>
          </w:tcPr>
          <w:p/>
        </w:tc>
        <w:tc>
          <w:tcPr>
            <w:tcW w:w="2041" w:type="dxa"/>
            <w:vMerge/>
            <w:tcBorders>
              <w:top w:val="single" w:sz="4" w:space="0" w:color="auto"/>
              <w:left w:val="single" w:sz="4" w:space="0" w:color="auto"/>
              <w:right w:val="single" w:sz="4" w:space="0" w:color="auto"/>
            </w:tcBorders>
            <w:vAlign w:val="center"/>
          </w:tcPr>
          <w:p/>
        </w:tc>
        <w:tc>
          <w:tcPr>
            <w:tcW w:w="1762" w:type="dxa"/>
            <w:vMerge/>
            <w:tcBorders>
              <w:top w:val="single" w:sz="4" w:space="0" w:color="auto"/>
              <w:left w:val="single" w:sz="4" w:space="0" w:color="auto"/>
              <w:right w:val="single" w:sz="4" w:space="0" w:color="auto"/>
            </w:tcBorders>
            <w:vAlign w:val="center"/>
          </w:tcPr>
          <w:p/>
        </w:tc>
        <w:tc>
          <w:tcPr>
            <w:tcW w:w="1756" w:type="dxa"/>
            <w:vMerge/>
            <w:vAlign w:val="center"/>
          </w:tcPr>
          <w:p/>
        </w:tc>
      </w:tr>
      <w:tr>
        <w:trPr>
          <w:trHeight w:val="369"/>
        </w:trPr>
        <w:tc>
          <w:tcPr>
            <w:tcW w:w="1049" w:type="dxa"/>
            <w:noWrap/>
            <w:vAlign w:val="center"/>
          </w:tcPr>
          <w:p>
            <w:pPr>
              <w:widowControl/>
              <w:suppressAutoHyphens w:val="0"/>
              <w:jc w:val="center"/>
              <w:rPr>
                <w:rFonts w:ascii="宋体" w:cs="宋体"/>
                <w:b/>
                <w:bCs/>
                <w:color w:val="000000"/>
                <w:kern w:val="0"/>
                <w:sz w:val="22"/>
                <w:szCs w:val="22"/>
              </w:rPr>
            </w:pPr>
          </w:p>
        </w:tc>
        <w:tc>
          <w:tcPr>
            <w:tcW w:w="93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446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计</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2,537.05</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2,167.27</w:t>
            </w:r>
          </w:p>
        </w:tc>
        <w:tc>
          <w:tcPr>
            <w:tcW w:w="1756" w:type="dxa"/>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369.78</w:t>
            </w:r>
          </w:p>
        </w:tc>
      </w:tr>
      <w:tr>
        <w:trPr>
          <w:trHeight w:val="369"/>
        </w:trPr>
        <w:tc>
          <w:tcPr>
            <w:tcW w:w="1049" w:type="dxa"/>
            <w:vAlign w:val="center"/>
          </w:tcPr>
          <w:p>
            <w:pPr>
              <w:widowControl/>
              <w:suppressAutoHyphens w:val="0"/>
              <w:jc w:val="center"/>
              <w:rPr>
                <w:rFonts w:ascii="宋体" w:cs="宋体"/>
                <w:color w:val="000000"/>
                <w:kern w:val="0"/>
                <w:sz w:val="22"/>
                <w:szCs w:val="22"/>
              </w:rPr>
            </w:pP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2,537.05</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2,167.27</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369.78</w:t>
            </w:r>
          </w:p>
        </w:tc>
      </w:tr>
      <w:tr>
        <w:trPr>
          <w:trHeight w:val="369"/>
        </w:trPr>
        <w:tc>
          <w:tcPr>
            <w:tcW w:w="1049" w:type="dxa"/>
            <w:vAlign w:val="center"/>
          </w:tcPr>
          <w:p>
            <w:pPr>
              <w:widowControl/>
              <w:suppressAutoHyphens w:val="0"/>
              <w:jc w:val="center"/>
              <w:rPr>
                <w:rFonts w:ascii="宋体" w:cs="宋体"/>
                <w:color w:val="000000"/>
                <w:kern w:val="0"/>
                <w:sz w:val="22"/>
                <w:szCs w:val="22"/>
              </w:rPr>
            </w:pP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328001</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广元市经济和信息化局</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2,537.05</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2,167.27</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369.78</w:t>
            </w:r>
          </w:p>
        </w:tc>
      </w:tr>
      <w:tr>
        <w:trPr>
          <w:trHeight w:val="369"/>
        </w:trPr>
        <w:tc>
          <w:tcPr>
            <w:tcW w:w="1049" w:type="dxa"/>
            <w:vAlign w:val="center"/>
          </w:tcPr>
          <w:p>
            <w:pPr>
              <w:widowControl/>
              <w:suppressAutoHyphens w:val="0"/>
              <w:jc w:val="center"/>
              <w:rPr>
                <w:rFonts w:ascii="宋体" w:cs="宋体"/>
                <w:color w:val="000000"/>
                <w:kern w:val="0"/>
                <w:sz w:val="22"/>
                <w:szCs w:val="22"/>
              </w:rPr>
            </w:pP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工资福利支出</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1,812.88</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1,812.88</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01</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30101</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基本工资</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522.13</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522.13</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01</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3010101</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晋级工资</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6.05</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6.05</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01</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3010102</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基本工资</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516.09</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516.09</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02</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30102</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津贴补贴</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220.69</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220.69</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02</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3010201</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公务员规范津贴补贴</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205.80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205.80</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02</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3010202</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艰苦边远地区津贴</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1.65</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1.65</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02</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3010204</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乡镇工作补贴</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1.20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1.20</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02</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3010206</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其他津贴补贴（含工改、审计等）</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12.04</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12.04</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03</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30103</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奖金</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510.93</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510.93</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03</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3010301</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年终一次性奖励工资</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29.13</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29.13</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03</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3010302</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优秀公务员奖励（参公人员）</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2.05</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2.05</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03</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3010303</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基础绩效奖</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390.16</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390.16</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03</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301030501</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公务员年度考核奖</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57.60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57.60</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03</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301030502</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事业人员年度考核奖</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32.00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32.00</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07</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30107</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绩效工资</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114.86</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114.86</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08</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30108</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机关事业单位基本养老保险缴费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202.71</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202.71</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10</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30110</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职工基本医疗保险缴费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65.76</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65.76</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12</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30112</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其他社会保障缴费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4.47</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4.47</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12</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3011201</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失业保险</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1.93</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1.93</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12</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3011202</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工伤保险</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2.53</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2.53</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301</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13</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30113</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住房公积金</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171.33</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171.33</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商品和服务支出</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363.80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363.80</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01</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30201</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办公费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15.00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15.00</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02</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30202</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印刷费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4.00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4.00</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05</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30205</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水费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6.00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6.00</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06</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30206</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电费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15.00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15.00</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07</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30207</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邮电费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32.00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32.00</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09</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30209</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物业管理费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18.00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18.00</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11</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30211</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差旅费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18.00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18.00</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13</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30213</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维修（护）费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8.00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8.00</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15</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30215</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会议费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2.00</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16</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30216</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培训费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2.00</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17</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30217</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公务接待费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3.44</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3.44</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26</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30226</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劳务费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8.00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8.00</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28</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30228</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工会经费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10.52</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10.52</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29</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30229</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福利费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36.73</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36.73</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29</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3022901</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福利费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15.81</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15.81</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29</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3022902</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食堂补助经费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20.92</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20.92</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31</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30231</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公务用车运行维护费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22.50</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22.50</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39</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30239</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其他交通费用</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67.97</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67.97</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99</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30299</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其他商品和服务支出</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94.64</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94.64</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99</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3029901</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党建经费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38.99</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38.99</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99</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3029902</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退休人员活动经费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9.89</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9.89</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99</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3029903</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食堂补助经费</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39.08</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39.08</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302</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99</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3029999</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其他商品和服务支出</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6.68</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6.68</w:t>
            </w:r>
          </w:p>
        </w:tc>
      </w:tr>
      <w:tr>
        <w:trPr>
          <w:trHeight w:val="369"/>
        </w:trPr>
        <w:tc>
          <w:tcPr>
            <w:tcW w:w="1049" w:type="dxa"/>
            <w:vAlign w:val="center"/>
          </w:tcPr>
          <w:p>
            <w:pPr>
              <w:widowControl/>
              <w:suppressAutoHyphens w:val="0"/>
              <w:jc w:val="center"/>
              <w:rPr>
                <w:rFonts w:ascii="宋体" w:cs="宋体"/>
                <w:color w:val="000000"/>
                <w:kern w:val="0"/>
                <w:sz w:val="22"/>
                <w:szCs w:val="22"/>
              </w:rPr>
            </w:pP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303</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对个人和家庭的补助</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354.38</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354.38</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303</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05</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30305</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生活补助</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354.38</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354.38</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303</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05</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3030501</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退休人员绩效补助</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345.24</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345.24</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303</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05</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3030504</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遗属生活补助</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9.14</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9.14</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369"/>
        </w:trPr>
        <w:tc>
          <w:tcPr>
            <w:tcW w:w="1049" w:type="dxa"/>
            <w:vAlign w:val="center"/>
          </w:tcPr>
          <w:p>
            <w:pPr>
              <w:widowControl/>
              <w:suppressAutoHyphens w:val="0"/>
              <w:jc w:val="center"/>
              <w:rPr>
                <w:rFonts w:ascii="宋体" w:cs="宋体"/>
                <w:color w:val="000000"/>
                <w:kern w:val="0"/>
                <w:sz w:val="22"/>
                <w:szCs w:val="22"/>
              </w:rPr>
            </w:pP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310</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资本性支出</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5.98</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5.98</w:t>
            </w:r>
          </w:p>
        </w:tc>
      </w:tr>
      <w:tr>
        <w:trPr>
          <w:trHeight w:val="369"/>
        </w:trPr>
        <w:tc>
          <w:tcPr>
            <w:tcW w:w="1049" w:type="dxa"/>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310</w:t>
            </w:r>
          </w:p>
        </w:tc>
        <w:tc>
          <w:tcPr>
            <w:tcW w:w="93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 w:val="22"/>
                <w:szCs w:val="22"/>
              </w:rPr>
            </w:pPr>
            <w:r>
              <w:rPr>
                <w:rFonts w:ascii="Times New Roman" w:hAnsi="Times New Roman"/>
                <w:color w:val="000000"/>
                <w:kern w:val="0"/>
                <w:sz w:val="22"/>
                <w:szCs w:val="22"/>
              </w:rPr>
              <w:t>02</w:t>
            </w:r>
          </w:p>
        </w:tc>
        <w:tc>
          <w:tcPr>
            <w:tcW w:w="1848"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31002</w:t>
            </w:r>
          </w:p>
        </w:tc>
        <w:tc>
          <w:tcPr>
            <w:tcW w:w="4468" w:type="dxa"/>
            <w:tcBorders>
              <w:top w:val="single" w:sz="4" w:space="0" w:color="auto"/>
              <w:left w:val="single" w:sz="4" w:space="0" w:color="auto"/>
              <w:right w:val="single" w:sz="4" w:space="0" w:color="auto"/>
            </w:tcBorders>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办公设备购置</w:t>
            </w:r>
          </w:p>
        </w:tc>
        <w:tc>
          <w:tcPr>
            <w:tcW w:w="20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5.98</w:t>
            </w:r>
          </w:p>
        </w:tc>
        <w:tc>
          <w:tcPr>
            <w:tcW w:w="1762"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756"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5.98</w:t>
            </w:r>
          </w:p>
        </w:tc>
      </w:tr>
    </w:tbl>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r>
        <w:rPr>
          <w:rFonts w:ascii="黑体" w:eastAsia="黑体" w:cs="方正小标宋简体" w:hAnsi="黑体" w:hint="eastAsia"/>
          <w:color w:val="000000"/>
          <w:kern w:val="0"/>
          <w:sz w:val="32"/>
          <w:szCs w:val="32"/>
          <w:shd w:val="clear" w:color="auto" w:fill="FFFFFF"/>
        </w:rPr>
        <w:t>表</w:t>
      </w:r>
      <w:r>
        <w:rPr>
          <w:rFonts w:ascii="黑体" w:eastAsia="黑体" w:cs="方正小标宋简体" w:hAnsi="黑体"/>
          <w:color w:val="000000"/>
          <w:kern w:val="0"/>
          <w:sz w:val="32"/>
          <w:szCs w:val="32"/>
          <w:shd w:val="clear" w:color="auto" w:fill="FFFFFF"/>
        </w:rPr>
        <w:t>8</w:t>
      </w:r>
    </w:p>
    <w:p>
      <w:pPr>
        <w:adjustRightInd w:val="0"/>
        <w:snapToGrid w:val="0"/>
        <w:jc w:val="center"/>
        <w:outlineLvl w:val="0"/>
        <w:rPr>
          <w:rFonts w:ascii="方正小标宋简体" w:eastAsia="方正小标宋简体" w:cs="方正小标宋简体" w:hAnsi="方正小标宋简体"/>
          <w:color w:val="000000"/>
          <w:kern w:val="0"/>
          <w:sz w:val="44"/>
          <w:szCs w:val="44"/>
          <w:shd w:val="clear" w:color="auto" w:fill="FFFFFF"/>
        </w:rPr>
      </w:pPr>
      <w:bookmarkStart w:id="26" w:name="_Toc188545591"/>
      <w:bookmarkStart w:id="27" w:name="_Toc188545370"/>
      <w:r>
        <w:rPr>
          <w:rFonts w:ascii="方正小标宋简体" w:eastAsia="方正小标宋简体" w:cs="方正小标宋简体" w:hAnsi="方正小标宋简体" w:hint="eastAsia"/>
          <w:color w:val="000000"/>
          <w:kern w:val="0"/>
          <w:sz w:val="44"/>
          <w:szCs w:val="44"/>
          <w:shd w:val="clear" w:color="auto" w:fill="FFFFFF"/>
        </w:rPr>
        <w:t>一般公共预算项目支出预算表</w:t>
      </w:r>
      <w:bookmarkEnd w:id="26"/>
      <w:bookmarkEnd w:id="27"/>
    </w:p>
    <w:p>
      <w:pPr>
        <w:adjustRightInd w:val="0"/>
        <w:snapToGrid w:val="0"/>
        <w:spacing w:beforeLines="50" w:before="156" w:afterLines="20" w:after="62"/>
        <w:rPr>
          <w:rFonts w:ascii="仿宋_GB2312" w:eastAsia="仿宋_GB2312" w:cs="仿宋_GB2312" w:hAnsi="仿宋_GB2312"/>
          <w:sz w:val="28"/>
          <w:szCs w:val="28"/>
        </w:rPr>
      </w:pPr>
      <w:r>
        <w:rPr>
          <w:rFonts w:ascii="仿宋_GB2312" w:eastAsia="仿宋_GB2312" w:cs="仿宋_GB2312" w:hAnsi="仿宋_GB2312" w:hint="eastAsia"/>
          <w:sz w:val="28"/>
          <w:szCs w:val="28"/>
        </w:rPr>
        <w:t>部门：</w:t>
      </w:r>
      <w:r>
        <w:rPr>
          <w:rFonts w:ascii="仿宋_GB2312" w:eastAsia="仿宋_GB2312" w:cs="仿宋_GB2312" w:hAnsi="仿宋_GB2312"/>
          <w:sz w:val="28"/>
          <w:szCs w:val="28"/>
        </w:rPr>
        <w:tab/>
        <w:tab/>
        <w:t xml:space="preserve">                                                                     </w:t>
        <w:tab/>
      </w:r>
      <w:r>
        <w:rPr>
          <w:rFonts w:ascii="仿宋_GB2312" w:eastAsia="仿宋_GB2312" w:cs="仿宋_GB2312" w:hAnsi="仿宋_GB2312" w:hint="eastAsia"/>
          <w:sz w:val="28"/>
          <w:szCs w:val="28"/>
        </w:rPr>
        <w:t>金额单位：万元</w:t>
      </w:r>
    </w:p>
    <w:tbl>
      <w:tblPr>
        <w:jc w:val="cente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24"/>
        <w:gridCol w:w="1056"/>
        <w:gridCol w:w="1069"/>
        <w:gridCol w:w="2126"/>
        <w:gridCol w:w="5444"/>
        <w:gridCol w:w="2599"/>
      </w:tblGrid>
      <w:tr>
        <w:trPr>
          <w:trHeight w:val="429"/>
        </w:trPr>
        <w:tc>
          <w:tcPr>
            <w:tcW w:w="3349" w:type="dxa"/>
            <w:gridSpan w:val="3"/>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科目编码</w:t>
            </w:r>
          </w:p>
        </w:tc>
        <w:tc>
          <w:tcPr>
            <w:tcW w:w="2126"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单位代码</w:t>
            </w:r>
          </w:p>
        </w:tc>
        <w:tc>
          <w:tcPr>
            <w:tcW w:w="5444"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单位名称（科目）</w:t>
            </w:r>
          </w:p>
        </w:tc>
        <w:tc>
          <w:tcPr>
            <w:tcW w:w="2599"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金额</w:t>
            </w:r>
          </w:p>
        </w:tc>
      </w:tr>
      <w:tr>
        <w:trPr>
          <w:trHeight w:val="429"/>
        </w:trPr>
        <w:tc>
          <w:tcPr>
            <w:tcW w:w="1224" w:type="dxa"/>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类</w:t>
            </w:r>
          </w:p>
        </w:tc>
        <w:tc>
          <w:tcPr>
            <w:tcW w:w="105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款</w:t>
            </w:r>
          </w:p>
        </w:tc>
        <w:tc>
          <w:tcPr>
            <w:tcW w:w="1069"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w:t>
            </w:r>
          </w:p>
        </w:tc>
        <w:tc>
          <w:tcPr>
            <w:tcW w:w="2126" w:type="dxa"/>
            <w:vMerge/>
            <w:tcBorders>
              <w:top w:val="single" w:sz="4" w:space="0" w:color="auto"/>
              <w:left w:val="single" w:sz="4" w:space="0" w:color="auto"/>
              <w:right w:val="single" w:sz="4" w:space="0" w:color="auto"/>
            </w:tcBorders>
            <w:vAlign w:val="center"/>
          </w:tcPr>
          <w:p/>
        </w:tc>
        <w:tc>
          <w:tcPr>
            <w:tcW w:w="5444" w:type="dxa"/>
            <w:vMerge/>
            <w:tcBorders>
              <w:top w:val="single" w:sz="4" w:space="0" w:color="auto"/>
              <w:left w:val="single" w:sz="4" w:space="0" w:color="auto"/>
              <w:right w:val="single" w:sz="4" w:space="0" w:color="auto"/>
            </w:tcBorders>
            <w:vAlign w:val="center"/>
          </w:tcPr>
          <w:p/>
        </w:tc>
        <w:tc>
          <w:tcPr>
            <w:tcW w:w="2599" w:type="dxa"/>
            <w:vMerge/>
            <w:vAlign w:val="center"/>
          </w:tcPr>
          <w:p/>
        </w:tc>
      </w:tr>
      <w:tr>
        <w:trPr>
          <w:trHeight w:val="585"/>
        </w:trPr>
        <w:tc>
          <w:tcPr>
            <w:tcW w:w="1224" w:type="dxa"/>
            <w:noWrap/>
            <w:vAlign w:val="center"/>
          </w:tcPr>
          <w:p>
            <w:pPr>
              <w:widowControl/>
              <w:suppressAutoHyphens w:val="0"/>
              <w:jc w:val="center"/>
              <w:rPr>
                <w:rFonts w:ascii="宋体" w:cs="宋体"/>
                <w:b/>
                <w:bCs/>
                <w:color w:val="000000"/>
                <w:kern w:val="0"/>
                <w:sz w:val="22"/>
                <w:szCs w:val="22"/>
              </w:rPr>
            </w:pPr>
          </w:p>
        </w:tc>
        <w:tc>
          <w:tcPr>
            <w:tcW w:w="1056"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1069"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2126"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5444"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计</w:t>
            </w:r>
          </w:p>
        </w:tc>
        <w:tc>
          <w:tcPr>
            <w:tcW w:w="2599" w:type="dxa"/>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206.45</w:t>
            </w:r>
          </w:p>
        </w:tc>
      </w:tr>
      <w:tr>
        <w:trPr>
          <w:trHeight w:val="585"/>
        </w:trPr>
        <w:tc>
          <w:tcPr>
            <w:tcW w:w="1224" w:type="dxa"/>
            <w:shd w:val="clear" w:color="FFFFFF" w:fill="FFFFFF"/>
            <w:noWrap/>
            <w:vAlign w:val="center"/>
          </w:tcPr>
          <w:p>
            <w:pPr>
              <w:widowControl/>
              <w:suppressAutoHyphens w:val="0"/>
              <w:jc w:val="center"/>
              <w:rPr>
                <w:rFonts w:ascii="宋体" w:cs="宋体"/>
                <w:color w:val="000000"/>
                <w:kern w:val="0"/>
                <w:sz w:val="22"/>
                <w:szCs w:val="22"/>
              </w:rPr>
            </w:pPr>
          </w:p>
        </w:tc>
        <w:tc>
          <w:tcPr>
            <w:tcW w:w="105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1069"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212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5444"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2599"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206.45</w:t>
            </w:r>
          </w:p>
        </w:tc>
      </w:tr>
      <w:tr>
        <w:trPr>
          <w:trHeight w:val="585"/>
        </w:trPr>
        <w:tc>
          <w:tcPr>
            <w:tcW w:w="1224" w:type="dxa"/>
            <w:shd w:val="clear" w:color="FFFFFF" w:fill="FFFFFF"/>
            <w:noWrap/>
            <w:vAlign w:val="center"/>
          </w:tcPr>
          <w:p>
            <w:pPr>
              <w:widowControl/>
              <w:suppressAutoHyphens w:val="0"/>
              <w:jc w:val="center"/>
              <w:rPr>
                <w:rFonts w:ascii="宋体" w:cs="宋体"/>
                <w:color w:val="000000"/>
                <w:kern w:val="0"/>
                <w:sz w:val="22"/>
                <w:szCs w:val="22"/>
              </w:rPr>
            </w:pPr>
          </w:p>
        </w:tc>
        <w:tc>
          <w:tcPr>
            <w:tcW w:w="105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1069"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212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5444"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hint="eastAsia"/>
                <w:color w:val="000000"/>
                <w:kern w:val="0"/>
                <w:sz w:val="22"/>
                <w:szCs w:val="22"/>
              </w:rPr>
              <w:t>广元市经济和信息化局</w:t>
            </w:r>
          </w:p>
        </w:tc>
        <w:tc>
          <w:tcPr>
            <w:tcW w:w="2599"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206.45</w:t>
            </w:r>
          </w:p>
        </w:tc>
      </w:tr>
      <w:tr>
        <w:trPr>
          <w:trHeight w:val="585"/>
        </w:trPr>
        <w:tc>
          <w:tcPr>
            <w:tcW w:w="1224" w:type="dxa"/>
            <w:shd w:val="clear" w:color="FFFFFF" w:fill="FFFFFF"/>
            <w:noWrap/>
            <w:vAlign w:val="center"/>
          </w:tcPr>
          <w:p>
            <w:pPr>
              <w:widowControl/>
              <w:suppressAutoHyphens w:val="0"/>
              <w:jc w:val="center"/>
              <w:rPr>
                <w:rFonts w:ascii="宋体" w:cs="宋体"/>
                <w:color w:val="000000"/>
                <w:kern w:val="0"/>
                <w:sz w:val="22"/>
                <w:szCs w:val="22"/>
              </w:rPr>
            </w:pPr>
          </w:p>
        </w:tc>
        <w:tc>
          <w:tcPr>
            <w:tcW w:w="105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1069"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212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5444"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一般行政管理事务</w:t>
            </w:r>
          </w:p>
        </w:tc>
        <w:tc>
          <w:tcPr>
            <w:tcW w:w="2599"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206.45</w:t>
            </w:r>
          </w:p>
        </w:tc>
      </w:tr>
      <w:tr>
        <w:trPr>
          <w:trHeight w:val="585"/>
        </w:trPr>
        <w:tc>
          <w:tcPr>
            <w:tcW w:w="1224"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201</w:t>
            </w:r>
          </w:p>
        </w:tc>
        <w:tc>
          <w:tcPr>
            <w:tcW w:w="105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03</w:t>
            </w:r>
          </w:p>
        </w:tc>
        <w:tc>
          <w:tcPr>
            <w:tcW w:w="1069"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02</w:t>
            </w:r>
          </w:p>
        </w:tc>
        <w:tc>
          <w:tcPr>
            <w:tcW w:w="212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328001</w:t>
            </w:r>
          </w:p>
        </w:tc>
        <w:tc>
          <w:tcPr>
            <w:tcW w:w="5444"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争取项目资金工作经费</w:t>
            </w:r>
          </w:p>
        </w:tc>
        <w:tc>
          <w:tcPr>
            <w:tcW w:w="2599"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20.00</w:t>
            </w:r>
          </w:p>
        </w:tc>
      </w:tr>
      <w:tr>
        <w:trPr>
          <w:trHeight w:val="585"/>
        </w:trPr>
        <w:tc>
          <w:tcPr>
            <w:tcW w:w="1224"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201</w:t>
            </w:r>
          </w:p>
        </w:tc>
        <w:tc>
          <w:tcPr>
            <w:tcW w:w="105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03</w:t>
            </w:r>
          </w:p>
        </w:tc>
        <w:tc>
          <w:tcPr>
            <w:tcW w:w="1069"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02</w:t>
            </w:r>
          </w:p>
        </w:tc>
        <w:tc>
          <w:tcPr>
            <w:tcW w:w="212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328001</w:t>
            </w:r>
          </w:p>
        </w:tc>
        <w:tc>
          <w:tcPr>
            <w:tcW w:w="5444"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派驻纪检组工作经费</w:t>
            </w:r>
          </w:p>
        </w:tc>
        <w:tc>
          <w:tcPr>
            <w:tcW w:w="2599"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17.00</w:t>
            </w:r>
          </w:p>
        </w:tc>
      </w:tr>
      <w:tr>
        <w:trPr>
          <w:trHeight w:val="585"/>
        </w:trPr>
        <w:tc>
          <w:tcPr>
            <w:tcW w:w="1224"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201</w:t>
            </w:r>
          </w:p>
        </w:tc>
        <w:tc>
          <w:tcPr>
            <w:tcW w:w="105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03</w:t>
            </w:r>
          </w:p>
        </w:tc>
        <w:tc>
          <w:tcPr>
            <w:tcW w:w="1069"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02</w:t>
            </w:r>
          </w:p>
        </w:tc>
        <w:tc>
          <w:tcPr>
            <w:tcW w:w="212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328001</w:t>
            </w:r>
          </w:p>
        </w:tc>
        <w:tc>
          <w:tcPr>
            <w:tcW w:w="5444"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乡村振兴工作经费</w:t>
            </w:r>
          </w:p>
        </w:tc>
        <w:tc>
          <w:tcPr>
            <w:tcW w:w="2599"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9.10</w:t>
            </w:r>
          </w:p>
        </w:tc>
      </w:tr>
      <w:tr>
        <w:trPr>
          <w:trHeight w:val="585"/>
        </w:trPr>
        <w:tc>
          <w:tcPr>
            <w:tcW w:w="1224"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201</w:t>
            </w:r>
          </w:p>
        </w:tc>
        <w:tc>
          <w:tcPr>
            <w:tcW w:w="105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03</w:t>
            </w:r>
          </w:p>
        </w:tc>
        <w:tc>
          <w:tcPr>
            <w:tcW w:w="1069"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02</w:t>
            </w:r>
          </w:p>
        </w:tc>
        <w:tc>
          <w:tcPr>
            <w:tcW w:w="212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328001</w:t>
            </w:r>
          </w:p>
        </w:tc>
        <w:tc>
          <w:tcPr>
            <w:tcW w:w="5444"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重点产业专班工作经费</w:t>
            </w:r>
          </w:p>
        </w:tc>
        <w:tc>
          <w:tcPr>
            <w:tcW w:w="2599"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120.00</w:t>
            </w:r>
          </w:p>
        </w:tc>
      </w:tr>
      <w:tr>
        <w:trPr>
          <w:trHeight w:val="585"/>
        </w:trPr>
        <w:tc>
          <w:tcPr>
            <w:tcW w:w="1224" w:type="dxa"/>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201</w:t>
            </w:r>
          </w:p>
        </w:tc>
        <w:tc>
          <w:tcPr>
            <w:tcW w:w="105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03</w:t>
            </w:r>
          </w:p>
        </w:tc>
        <w:tc>
          <w:tcPr>
            <w:tcW w:w="1069"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02</w:t>
            </w:r>
          </w:p>
        </w:tc>
        <w:tc>
          <w:tcPr>
            <w:tcW w:w="212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color w:val="000000"/>
                <w:kern w:val="0"/>
                <w:sz w:val="22"/>
                <w:szCs w:val="22"/>
              </w:rPr>
              <w:t>328001</w:t>
            </w:r>
          </w:p>
        </w:tc>
        <w:tc>
          <w:tcPr>
            <w:tcW w:w="5444"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办公用房租赁费用</w:t>
            </w:r>
          </w:p>
        </w:tc>
        <w:tc>
          <w:tcPr>
            <w:tcW w:w="2599"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40.35</w:t>
            </w:r>
          </w:p>
        </w:tc>
      </w:tr>
    </w:tbl>
    <w:p>
      <w:pPr>
        <w:spacing w:line="576" w:lineRule="exact"/>
        <w:rPr>
          <w:rFonts w:ascii="仿宋_GB2312" w:eastAsia="仿宋_GB2312" w:cs="仿宋_GB2312" w:hAnsi="仿宋_GB2312"/>
          <w:sz w:val="32"/>
          <w:szCs w:val="32"/>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r>
        <w:rPr>
          <w:rFonts w:ascii="黑体" w:eastAsia="黑体" w:cs="方正小标宋简体" w:hAnsi="黑体" w:hint="eastAsia"/>
          <w:color w:val="000000"/>
          <w:kern w:val="0"/>
          <w:sz w:val="32"/>
          <w:szCs w:val="32"/>
          <w:shd w:val="clear" w:color="auto" w:fill="FFFFFF"/>
        </w:rPr>
        <w:t>表</w:t>
      </w:r>
      <w:r>
        <w:rPr>
          <w:rFonts w:ascii="黑体" w:eastAsia="黑体" w:cs="方正小标宋简体" w:hAnsi="黑体"/>
          <w:color w:val="000000"/>
          <w:kern w:val="0"/>
          <w:sz w:val="32"/>
          <w:szCs w:val="32"/>
          <w:shd w:val="clear" w:color="auto" w:fill="FFFFFF"/>
        </w:rPr>
        <w:t>9</w:t>
      </w:r>
    </w:p>
    <w:p>
      <w:pPr>
        <w:adjustRightInd w:val="0"/>
        <w:snapToGrid w:val="0"/>
        <w:jc w:val="center"/>
        <w:outlineLvl w:val="0"/>
        <w:rPr>
          <w:rFonts w:ascii="方正小标宋简体" w:eastAsia="方正小标宋简体" w:cs="方正小标宋简体" w:hAnsi="方正小标宋简体"/>
          <w:color w:val="000000"/>
          <w:kern w:val="0"/>
          <w:sz w:val="44"/>
          <w:szCs w:val="44"/>
          <w:shd w:val="clear" w:color="auto" w:fill="FFFFFF"/>
        </w:rPr>
      </w:pPr>
      <w:bookmarkStart w:id="28" w:name="_Toc188545371"/>
      <w:bookmarkStart w:id="29" w:name="_Toc188545592"/>
      <w:r>
        <w:rPr>
          <w:rFonts w:ascii="方正小标宋简体" w:eastAsia="方正小标宋简体" w:cs="方正小标宋简体" w:hAnsi="方正小标宋简体" w:hint="eastAsia"/>
          <w:color w:val="000000"/>
          <w:kern w:val="0"/>
          <w:sz w:val="44"/>
          <w:szCs w:val="44"/>
          <w:shd w:val="clear" w:color="auto" w:fill="FFFFFF"/>
        </w:rPr>
        <w:t>一般公共预算“三公”经费支出预算表</w:t>
      </w:r>
      <w:bookmarkEnd w:id="28"/>
      <w:bookmarkEnd w:id="29"/>
    </w:p>
    <w:p>
      <w:pPr>
        <w:adjustRightInd w:val="0"/>
        <w:snapToGrid w:val="0"/>
        <w:spacing w:beforeLines="50" w:before="156" w:afterLines="20" w:after="62"/>
        <w:rPr>
          <w:rFonts w:ascii="仿宋_GB2312" w:eastAsia="仿宋_GB2312" w:cs="仿宋_GB2312" w:hAnsi="仿宋_GB2312"/>
          <w:sz w:val="28"/>
          <w:szCs w:val="28"/>
        </w:rPr>
      </w:pPr>
      <w:r>
        <w:rPr>
          <w:rFonts w:ascii="仿宋_GB2312" w:eastAsia="仿宋_GB2312" w:cs="仿宋_GB2312" w:hAnsi="仿宋_GB2312" w:hint="eastAsia"/>
          <w:sz w:val="28"/>
          <w:szCs w:val="28"/>
        </w:rPr>
        <w:t>部门：</w:t>
      </w:r>
      <w:r>
        <w:rPr>
          <w:rFonts w:ascii="仿宋_GB2312" w:eastAsia="仿宋_GB2312" w:cs="仿宋_GB2312" w:hAnsi="仿宋_GB2312"/>
          <w:sz w:val="28"/>
          <w:szCs w:val="28"/>
        </w:rPr>
        <w:tab/>
        <w:tab/>
        <w:t xml:space="preserve">                                                                      </w:t>
        <w:tab/>
      </w:r>
      <w:r>
        <w:rPr>
          <w:rFonts w:ascii="仿宋_GB2312" w:eastAsia="仿宋_GB2312" w:cs="仿宋_GB2312" w:hAnsi="仿宋_GB2312" w:hint="eastAsia"/>
          <w:sz w:val="28"/>
          <w:szCs w:val="28"/>
        </w:rPr>
        <w:t>金额单位：万元</w:t>
      </w:r>
    </w:p>
    <w:tbl>
      <w:tblPr>
        <w:jc w:val="left"/>
        <w:tblInd w:w="95" w:type="dxa"/>
        <w:tblW w:w="13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40"/>
        <w:gridCol w:w="2717"/>
        <w:gridCol w:w="939"/>
        <w:gridCol w:w="1244"/>
        <w:gridCol w:w="939"/>
        <w:gridCol w:w="2113"/>
        <w:gridCol w:w="2541"/>
        <w:gridCol w:w="1827"/>
      </w:tblGrid>
      <w:tr>
        <w:trPr>
          <w:trHeight w:val="615"/>
        </w:trPr>
        <w:tc>
          <w:tcPr>
            <w:tcW w:w="1440"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单位编码</w:t>
            </w:r>
          </w:p>
        </w:tc>
        <w:tc>
          <w:tcPr>
            <w:tcW w:w="2717"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单位名称（科目）</w:t>
            </w:r>
          </w:p>
        </w:tc>
        <w:tc>
          <w:tcPr>
            <w:tcW w:w="9603" w:type="dxa"/>
            <w:gridSpan w:val="6"/>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当年财政拨款预算安排</w:t>
            </w:r>
          </w:p>
        </w:tc>
      </w:tr>
      <w:tr>
        <w:trPr>
          <w:trHeight w:val="615"/>
        </w:trPr>
        <w:tc>
          <w:tcPr>
            <w:tcW w:w="1440" w:type="dxa"/>
            <w:vMerge/>
            <w:vAlign w:val="center"/>
          </w:tcPr>
          <w:p/>
        </w:tc>
        <w:tc>
          <w:tcPr>
            <w:tcW w:w="2717" w:type="dxa"/>
            <w:vMerge/>
            <w:tcBorders>
              <w:top w:val="single" w:sz="4" w:space="0" w:color="auto"/>
              <w:left w:val="single" w:sz="4" w:space="0" w:color="auto"/>
              <w:right w:val="single" w:sz="4" w:space="0" w:color="auto"/>
            </w:tcBorders>
            <w:vAlign w:val="center"/>
          </w:tcPr>
          <w:p/>
        </w:tc>
        <w:tc>
          <w:tcPr>
            <w:tcW w:w="939"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合计</w:t>
            </w:r>
          </w:p>
        </w:tc>
        <w:tc>
          <w:tcPr>
            <w:tcW w:w="1244" w:type="dxa"/>
            <w:vMerge w:val="restart"/>
            <w:tcBorders>
              <w:top w:val="single" w:sz="4" w:space="0" w:color="auto"/>
              <w:left w:val="single" w:sz="4" w:space="0" w:color="auto"/>
              <w:right w:val="single" w:sz="4" w:space="0" w:color="auto"/>
            </w:tcBorders>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因公出国（境）费用</w:t>
            </w:r>
          </w:p>
        </w:tc>
        <w:tc>
          <w:tcPr>
            <w:tcW w:w="5593" w:type="dxa"/>
            <w:gridSpan w:val="3"/>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公务用车购置及运行费</w:t>
            </w:r>
          </w:p>
        </w:tc>
        <w:tc>
          <w:tcPr>
            <w:tcW w:w="1827"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公务接待费</w:t>
            </w:r>
          </w:p>
        </w:tc>
      </w:tr>
      <w:tr>
        <w:trPr>
          <w:trHeight w:val="615"/>
        </w:trPr>
        <w:tc>
          <w:tcPr>
            <w:tcW w:w="1440" w:type="dxa"/>
            <w:vMerge/>
            <w:vAlign w:val="center"/>
          </w:tcPr>
          <w:p/>
        </w:tc>
        <w:tc>
          <w:tcPr>
            <w:tcW w:w="2717" w:type="dxa"/>
            <w:vMerge/>
            <w:tcBorders>
              <w:top w:val="single" w:sz="4" w:space="0" w:color="auto"/>
              <w:left w:val="single" w:sz="4" w:space="0" w:color="auto"/>
              <w:right w:val="single" w:sz="4" w:space="0" w:color="auto"/>
            </w:tcBorders>
            <w:vAlign w:val="center"/>
          </w:tcPr>
          <w:p/>
        </w:tc>
        <w:tc>
          <w:tcPr>
            <w:tcW w:w="939" w:type="dxa"/>
            <w:vMerge/>
            <w:tcBorders>
              <w:top w:val="single" w:sz="4" w:space="0" w:color="auto"/>
              <w:left w:val="single" w:sz="4" w:space="0" w:color="auto"/>
              <w:right w:val="single" w:sz="4" w:space="0" w:color="auto"/>
            </w:tcBorders>
            <w:vAlign w:val="center"/>
          </w:tcPr>
          <w:p/>
        </w:tc>
        <w:tc>
          <w:tcPr>
            <w:tcW w:w="1244" w:type="dxa"/>
            <w:vMerge/>
            <w:tcBorders>
              <w:top w:val="single" w:sz="4" w:space="0" w:color="auto"/>
              <w:left w:val="single" w:sz="4" w:space="0" w:color="auto"/>
              <w:right w:val="single" w:sz="4" w:space="0" w:color="auto"/>
            </w:tcBorders>
            <w:vAlign w:val="center"/>
          </w:tcPr>
          <w:p/>
        </w:tc>
        <w:tc>
          <w:tcPr>
            <w:tcW w:w="939"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小计</w:t>
            </w:r>
          </w:p>
        </w:tc>
        <w:tc>
          <w:tcPr>
            <w:tcW w:w="2113"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公务用车购置费</w:t>
            </w:r>
          </w:p>
        </w:tc>
        <w:tc>
          <w:tcPr>
            <w:tcW w:w="2541"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公务用车运行费</w:t>
            </w:r>
          </w:p>
        </w:tc>
        <w:tc>
          <w:tcPr>
            <w:tcW w:w="1827" w:type="dxa"/>
            <w:vMerge/>
            <w:vAlign w:val="center"/>
          </w:tcPr>
          <w:p/>
        </w:tc>
      </w:tr>
      <w:tr>
        <w:trPr>
          <w:trHeight w:val="615"/>
        </w:trPr>
        <w:tc>
          <w:tcPr>
            <w:tcW w:w="1440" w:type="dxa"/>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　</w:t>
            </w:r>
          </w:p>
        </w:tc>
        <w:tc>
          <w:tcPr>
            <w:tcW w:w="2717"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计</w:t>
            </w:r>
          </w:p>
        </w:tc>
        <w:tc>
          <w:tcPr>
            <w:tcW w:w="939"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28.94</w:t>
            </w:r>
          </w:p>
        </w:tc>
        <w:tc>
          <w:tcPr>
            <w:tcW w:w="1244"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939"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22.50</w:t>
            </w:r>
          </w:p>
        </w:tc>
        <w:tc>
          <w:tcPr>
            <w:tcW w:w="211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25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22.50</w:t>
            </w:r>
          </w:p>
        </w:tc>
        <w:tc>
          <w:tcPr>
            <w:tcW w:w="1827" w:type="dxa"/>
            <w:noWrap/>
            <w:vAlign w:val="center"/>
          </w:tcPr>
          <w:p>
            <w:pPr>
              <w:widowControl/>
              <w:suppressAutoHyphens w:val="0"/>
              <w:jc w:val="right"/>
              <w:rPr>
                <w:rFonts w:ascii="宋体" w:cs="宋体"/>
                <w:b/>
                <w:bCs/>
                <w:color w:val="000000"/>
                <w:kern w:val="0"/>
                <w:sz w:val="22"/>
                <w:szCs w:val="22"/>
              </w:rPr>
            </w:pPr>
            <w:r>
              <w:rPr>
                <w:rFonts w:ascii="宋体" w:cs="宋体" w:hAnsi="宋体"/>
                <w:b/>
                <w:bCs/>
                <w:color w:val="000000"/>
                <w:kern w:val="0"/>
                <w:sz w:val="22"/>
                <w:szCs w:val="22"/>
              </w:rPr>
              <w:t>6.44</w:t>
            </w:r>
          </w:p>
        </w:tc>
      </w:tr>
      <w:tr>
        <w:trPr>
          <w:trHeight w:val="615"/>
        </w:trPr>
        <w:tc>
          <w:tcPr>
            <w:tcW w:w="1440" w:type="dxa"/>
            <w:shd w:val="clear" w:color="FFFFFF" w:fill="FFFFFF"/>
            <w:noWrap/>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2717"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939"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28.94</w:t>
            </w:r>
          </w:p>
        </w:tc>
        <w:tc>
          <w:tcPr>
            <w:tcW w:w="1244"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939"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22.50</w:t>
            </w:r>
          </w:p>
        </w:tc>
        <w:tc>
          <w:tcPr>
            <w:tcW w:w="2113"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54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22.50</w:t>
            </w:r>
          </w:p>
        </w:tc>
        <w:tc>
          <w:tcPr>
            <w:tcW w:w="1827" w:type="dxa"/>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6.44</w:t>
            </w:r>
          </w:p>
        </w:tc>
      </w:tr>
      <w:tr>
        <w:trPr>
          <w:trHeight w:val="615"/>
        </w:trPr>
        <w:tc>
          <w:tcPr>
            <w:tcW w:w="1440" w:type="dxa"/>
            <w:shd w:val="clear" w:color="FFFFFF" w:fill="FFFFFF"/>
            <w:noWrap/>
            <w:vAlign w:val="center"/>
          </w:tcPr>
          <w:p>
            <w:pPr>
              <w:widowControl/>
              <w:suppressAutoHyphens w:val="0"/>
              <w:jc w:val="left"/>
              <w:rPr>
                <w:rFonts w:ascii="宋体" w:cs="宋体"/>
                <w:color w:val="000000"/>
                <w:kern w:val="0"/>
                <w:sz w:val="22"/>
                <w:szCs w:val="22"/>
              </w:rPr>
            </w:pPr>
            <w:r>
              <w:rPr>
                <w:rFonts w:ascii="宋体" w:cs="宋体" w:hAnsi="宋体"/>
                <w:color w:val="000000"/>
                <w:kern w:val="0"/>
                <w:sz w:val="22"/>
                <w:szCs w:val="22"/>
              </w:rPr>
              <w:t>328001</w:t>
            </w:r>
          </w:p>
        </w:tc>
        <w:tc>
          <w:tcPr>
            <w:tcW w:w="2717"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r>
              <w:rPr>
                <w:rFonts w:ascii="Times New Roman" w:hAnsi="Times New Roman" w:hint="eastAsia"/>
                <w:color w:val="000000"/>
                <w:kern w:val="0"/>
                <w:sz w:val="22"/>
                <w:szCs w:val="22"/>
              </w:rPr>
              <w:t>广元市经济和信息化局</w:t>
            </w:r>
          </w:p>
        </w:tc>
        <w:tc>
          <w:tcPr>
            <w:tcW w:w="939"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28.94</w:t>
            </w:r>
          </w:p>
        </w:tc>
        <w:tc>
          <w:tcPr>
            <w:tcW w:w="1244"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939"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22.50</w:t>
            </w:r>
          </w:p>
        </w:tc>
        <w:tc>
          <w:tcPr>
            <w:tcW w:w="2113"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541"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22.50</w:t>
            </w:r>
          </w:p>
        </w:tc>
        <w:tc>
          <w:tcPr>
            <w:tcW w:w="1827"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color w:val="000000"/>
                <w:kern w:val="0"/>
                <w:sz w:val="22"/>
                <w:szCs w:val="22"/>
              </w:rPr>
              <w:t>6.44</w:t>
            </w:r>
          </w:p>
        </w:tc>
      </w:tr>
    </w:tbl>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r>
        <w:rPr>
          <w:rFonts w:ascii="黑体" w:eastAsia="黑体" w:cs="方正小标宋简体" w:hAnsi="黑体" w:hint="eastAsia"/>
          <w:color w:val="000000"/>
          <w:kern w:val="0"/>
          <w:sz w:val="32"/>
          <w:szCs w:val="32"/>
          <w:shd w:val="clear" w:color="auto" w:fill="FFFFFF"/>
        </w:rPr>
        <w:t>表</w:t>
      </w:r>
      <w:r>
        <w:rPr>
          <w:rFonts w:ascii="黑体" w:eastAsia="黑体" w:cs="方正小标宋简体" w:hAnsi="黑体"/>
          <w:color w:val="000000"/>
          <w:kern w:val="0"/>
          <w:sz w:val="32"/>
          <w:szCs w:val="32"/>
          <w:shd w:val="clear" w:color="auto" w:fill="FFFFFF"/>
        </w:rPr>
        <w:t>10</w:t>
      </w:r>
    </w:p>
    <w:p>
      <w:pPr>
        <w:adjustRightInd w:val="0"/>
        <w:snapToGrid w:val="0"/>
        <w:jc w:val="center"/>
        <w:outlineLvl w:val="0"/>
        <w:rPr>
          <w:rFonts w:ascii="方正小标宋简体" w:eastAsia="方正小标宋简体" w:cs="方正小标宋简体" w:hAnsi="方正小标宋简体"/>
          <w:color w:val="000000"/>
          <w:kern w:val="0"/>
          <w:sz w:val="44"/>
          <w:szCs w:val="44"/>
          <w:shd w:val="clear" w:color="auto" w:fill="FFFFFF"/>
        </w:rPr>
      </w:pPr>
      <w:bookmarkStart w:id="30" w:name="_Toc188545593"/>
      <w:bookmarkStart w:id="31" w:name="_Toc188545372"/>
      <w:r>
        <w:rPr>
          <w:rFonts w:ascii="方正小标宋简体" w:eastAsia="方正小标宋简体" w:cs="方正小标宋简体" w:hAnsi="方正小标宋简体" w:hint="eastAsia"/>
          <w:color w:val="000000"/>
          <w:kern w:val="0"/>
          <w:sz w:val="44"/>
          <w:szCs w:val="44"/>
          <w:shd w:val="clear" w:color="auto" w:fill="FFFFFF"/>
        </w:rPr>
        <w:t>政府性基金预算支出预算表</w:t>
      </w:r>
      <w:bookmarkEnd w:id="30"/>
      <w:bookmarkEnd w:id="31"/>
    </w:p>
    <w:p>
      <w:pPr>
        <w:adjustRightInd w:val="0"/>
        <w:snapToGrid w:val="0"/>
        <w:spacing w:beforeLines="50" w:before="156" w:afterLines="20" w:after="62"/>
        <w:rPr>
          <w:rFonts w:ascii="仿宋_GB2312" w:eastAsia="仿宋_GB2312" w:cs="仿宋_GB2312" w:hAnsi="仿宋_GB2312"/>
          <w:sz w:val="28"/>
          <w:szCs w:val="28"/>
        </w:rPr>
      </w:pPr>
      <w:r>
        <w:rPr>
          <w:rFonts w:ascii="仿宋_GB2312" w:eastAsia="仿宋_GB2312" w:cs="仿宋_GB2312" w:hAnsi="仿宋_GB2312" w:hint="eastAsia"/>
          <w:sz w:val="28"/>
          <w:szCs w:val="28"/>
        </w:rPr>
        <w:t>部门：</w:t>
      </w:r>
      <w:r>
        <w:rPr>
          <w:rFonts w:ascii="仿宋_GB2312" w:eastAsia="仿宋_GB2312" w:cs="仿宋_GB2312" w:hAnsi="仿宋_GB2312"/>
          <w:sz w:val="28"/>
          <w:szCs w:val="28"/>
        </w:rPr>
        <w:tab/>
        <w:tab/>
        <w:t xml:space="preserve">                                                                      </w:t>
        <w:tab/>
      </w:r>
      <w:r>
        <w:rPr>
          <w:rFonts w:ascii="仿宋_GB2312" w:eastAsia="仿宋_GB2312" w:cs="仿宋_GB2312" w:hAnsi="仿宋_GB2312" w:hint="eastAsia"/>
          <w:sz w:val="28"/>
          <w:szCs w:val="28"/>
        </w:rPr>
        <w:t>金额单位：万元</w:t>
      </w:r>
    </w:p>
    <w:tbl>
      <w:tblPr>
        <w:jc w:val="left"/>
        <w:tblInd w:w="95" w:type="dxa"/>
        <w:tblW w:w="13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80"/>
        <w:gridCol w:w="680"/>
        <w:gridCol w:w="680"/>
        <w:gridCol w:w="1569"/>
        <w:gridCol w:w="4994"/>
        <w:gridCol w:w="1080"/>
        <w:gridCol w:w="2100"/>
        <w:gridCol w:w="2100"/>
      </w:tblGrid>
      <w:tr>
        <w:trPr>
          <w:trHeight w:val="498"/>
        </w:trPr>
        <w:tc>
          <w:tcPr>
            <w:tcW w:w="680" w:type="dxa"/>
            <w:gridSpan w:val="5"/>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目</w:t>
            </w:r>
          </w:p>
        </w:tc>
        <w:tc>
          <w:tcPr>
            <w:tcW w:w="5280" w:type="dxa"/>
            <w:gridSpan w:val="3"/>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本年政府性基金预算支出</w:t>
            </w:r>
          </w:p>
        </w:tc>
      </w:tr>
      <w:tr>
        <w:trPr>
          <w:trHeight w:val="600"/>
        </w:trPr>
        <w:tc>
          <w:tcPr>
            <w:tcW w:w="680" w:type="dxa"/>
            <w:gridSpan w:val="3"/>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科目编码</w:t>
            </w:r>
          </w:p>
        </w:tc>
        <w:tc>
          <w:tcPr>
            <w:tcW w:w="1569"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单位代码</w:t>
            </w:r>
          </w:p>
        </w:tc>
        <w:tc>
          <w:tcPr>
            <w:tcW w:w="4994"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单位名称（科目）</w:t>
            </w:r>
          </w:p>
        </w:tc>
        <w:tc>
          <w:tcPr>
            <w:tcW w:w="1080"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合计</w:t>
            </w:r>
          </w:p>
        </w:tc>
        <w:tc>
          <w:tcPr>
            <w:tcW w:w="2100"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基本支出</w:t>
            </w:r>
          </w:p>
        </w:tc>
        <w:tc>
          <w:tcPr>
            <w:tcW w:w="2100"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项目支出</w:t>
            </w:r>
          </w:p>
        </w:tc>
      </w:tr>
      <w:tr>
        <w:trPr>
          <w:trHeight w:val="600"/>
        </w:trPr>
        <w:tc>
          <w:tcPr>
            <w:tcW w:w="680" w:type="dxa"/>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类</w:t>
            </w:r>
          </w:p>
        </w:tc>
        <w:tc>
          <w:tcPr>
            <w:tcW w:w="68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款</w:t>
            </w:r>
          </w:p>
        </w:tc>
        <w:tc>
          <w:tcPr>
            <w:tcW w:w="68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w:t>
            </w:r>
          </w:p>
        </w:tc>
        <w:tc>
          <w:tcPr>
            <w:tcW w:w="1569" w:type="dxa"/>
            <w:vMerge/>
            <w:tcBorders>
              <w:top w:val="single" w:sz="4" w:space="0" w:color="auto"/>
              <w:left w:val="single" w:sz="4" w:space="0" w:color="auto"/>
              <w:right w:val="single" w:sz="4" w:space="0" w:color="auto"/>
            </w:tcBorders>
            <w:vAlign w:val="center"/>
          </w:tcPr>
          <w:p/>
        </w:tc>
        <w:tc>
          <w:tcPr>
            <w:tcW w:w="4994" w:type="dxa"/>
            <w:vMerge/>
            <w:tcBorders>
              <w:top w:val="single" w:sz="4" w:space="0" w:color="auto"/>
              <w:left w:val="single" w:sz="4" w:space="0" w:color="auto"/>
              <w:right w:val="single" w:sz="4" w:space="0" w:color="auto"/>
            </w:tcBorders>
            <w:vAlign w:val="center"/>
          </w:tcPr>
          <w:p/>
        </w:tc>
        <w:tc>
          <w:tcPr>
            <w:tcW w:w="1080" w:type="dxa"/>
            <w:vMerge/>
            <w:tcBorders>
              <w:top w:val="single" w:sz="4" w:space="0" w:color="auto"/>
              <w:left w:val="single" w:sz="4" w:space="0" w:color="auto"/>
              <w:right w:val="single" w:sz="4" w:space="0" w:color="auto"/>
            </w:tcBorders>
            <w:vAlign w:val="center"/>
          </w:tcPr>
          <w:p/>
        </w:tc>
        <w:tc>
          <w:tcPr>
            <w:tcW w:w="2100" w:type="dxa"/>
            <w:vMerge/>
            <w:tcBorders>
              <w:top w:val="single" w:sz="4" w:space="0" w:color="auto"/>
              <w:left w:val="single" w:sz="4" w:space="0" w:color="auto"/>
              <w:right w:val="single" w:sz="4" w:space="0" w:color="auto"/>
            </w:tcBorders>
            <w:vAlign w:val="center"/>
          </w:tcPr>
          <w:p/>
        </w:tc>
        <w:tc>
          <w:tcPr>
            <w:tcW w:w="2100" w:type="dxa"/>
            <w:vMerge/>
            <w:vAlign w:val="center"/>
          </w:tcPr>
          <w:p/>
        </w:tc>
      </w:tr>
      <w:tr>
        <w:trPr>
          <w:trHeight w:val="600"/>
        </w:trPr>
        <w:tc>
          <w:tcPr>
            <w:tcW w:w="680" w:type="dxa"/>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　</w:t>
            </w:r>
          </w:p>
        </w:tc>
        <w:tc>
          <w:tcPr>
            <w:tcW w:w="680"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　</w:t>
            </w:r>
          </w:p>
        </w:tc>
        <w:tc>
          <w:tcPr>
            <w:tcW w:w="680"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　</w:t>
            </w:r>
          </w:p>
        </w:tc>
        <w:tc>
          <w:tcPr>
            <w:tcW w:w="1569"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　</w:t>
            </w:r>
          </w:p>
        </w:tc>
        <w:tc>
          <w:tcPr>
            <w:tcW w:w="4994"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计</w:t>
            </w:r>
          </w:p>
        </w:tc>
        <w:tc>
          <w:tcPr>
            <w:tcW w:w="108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210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2100" w:type="dxa"/>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r>
      <w:tr>
        <w:trPr>
          <w:trHeight w:val="600"/>
        </w:trPr>
        <w:tc>
          <w:tcPr>
            <w:tcW w:w="680" w:type="dxa"/>
            <w:shd w:val="clear" w:color="FFFFFF" w:fill="FFFFFF"/>
            <w:noWrap/>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68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68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569"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4994" w:type="dxa"/>
            <w:tcBorders>
              <w:top w:val="single" w:sz="4" w:space="0" w:color="auto"/>
              <w:left w:val="single" w:sz="4" w:space="0" w:color="auto"/>
              <w:right w:val="single" w:sz="4" w:space="0" w:color="auto"/>
            </w:tcBorders>
            <w:shd w:val="clear" w:color="FFFFFF" w:fill="FFFFFF"/>
            <w:vAlign w:val="center"/>
          </w:tcPr>
          <w:p>
            <w:pPr>
              <w:widowControl/>
              <w:suppressAutoHyphens w:val="0"/>
              <w:jc w:val="center"/>
              <w:rPr>
                <w:rFonts w:ascii="宋体" w:cs="宋体"/>
                <w:color w:val="000000"/>
                <w:kern w:val="0"/>
                <w:sz w:val="22"/>
                <w:szCs w:val="22"/>
              </w:rPr>
            </w:pPr>
            <w:r>
              <w:rPr>
                <w:rFonts w:ascii="宋体" w:cs="宋体" w:hAnsi="宋体" w:hint="eastAsia"/>
                <w:color w:val="000000"/>
                <w:kern w:val="0"/>
                <w:sz w:val="22"/>
                <w:szCs w:val="22"/>
              </w:rPr>
              <w:t>本表无数据</w:t>
            </w:r>
          </w:p>
        </w:tc>
        <w:tc>
          <w:tcPr>
            <w:tcW w:w="108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0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00"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bl>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r>
        <w:rPr>
          <w:rFonts w:ascii="黑体" w:eastAsia="黑体" w:cs="方正小标宋简体" w:hAnsi="黑体" w:hint="eastAsia"/>
          <w:color w:val="000000"/>
          <w:kern w:val="0"/>
          <w:sz w:val="32"/>
          <w:szCs w:val="32"/>
          <w:shd w:val="clear" w:color="auto" w:fill="FFFFFF"/>
        </w:rPr>
        <w:t>表</w:t>
      </w:r>
      <w:r>
        <w:rPr>
          <w:rFonts w:ascii="黑体" w:eastAsia="黑体" w:cs="方正小标宋简体" w:hAnsi="黑体"/>
          <w:color w:val="000000"/>
          <w:kern w:val="0"/>
          <w:sz w:val="32"/>
          <w:szCs w:val="32"/>
          <w:shd w:val="clear" w:color="auto" w:fill="FFFFFF"/>
        </w:rPr>
        <w:t>11</w:t>
      </w:r>
    </w:p>
    <w:p>
      <w:pPr>
        <w:adjustRightInd w:val="0"/>
        <w:snapToGrid w:val="0"/>
        <w:jc w:val="center"/>
        <w:outlineLvl w:val="0"/>
        <w:rPr>
          <w:rFonts w:ascii="方正小标宋简体" w:eastAsia="方正小标宋简体" w:cs="方正小标宋简体" w:hAnsi="方正小标宋简体"/>
          <w:color w:val="000000"/>
          <w:kern w:val="0"/>
          <w:sz w:val="44"/>
          <w:szCs w:val="44"/>
          <w:shd w:val="clear" w:color="auto" w:fill="FFFFFF"/>
        </w:rPr>
      </w:pPr>
      <w:bookmarkStart w:id="32" w:name="_Toc188545594"/>
      <w:bookmarkStart w:id="33" w:name="_Toc188545373"/>
      <w:r>
        <w:rPr>
          <w:rFonts w:ascii="方正小标宋简体" w:eastAsia="方正小标宋简体" w:cs="方正小标宋简体" w:hAnsi="方正小标宋简体" w:hint="eastAsia"/>
          <w:color w:val="000000"/>
          <w:kern w:val="0"/>
          <w:sz w:val="44"/>
          <w:szCs w:val="44"/>
          <w:shd w:val="clear" w:color="auto" w:fill="FFFFFF"/>
        </w:rPr>
        <w:t>政府性基金预算“三公”经费支出预算表</w:t>
      </w:r>
      <w:bookmarkEnd w:id="32"/>
      <w:bookmarkEnd w:id="33"/>
    </w:p>
    <w:p>
      <w:pPr>
        <w:adjustRightInd w:val="0"/>
        <w:snapToGrid w:val="0"/>
        <w:spacing w:beforeLines="50" w:before="156" w:afterLines="20" w:after="62"/>
        <w:rPr>
          <w:rFonts w:ascii="仿宋_GB2312" w:eastAsia="仿宋_GB2312" w:cs="仿宋_GB2312" w:hAnsi="仿宋_GB2312"/>
          <w:sz w:val="28"/>
          <w:szCs w:val="28"/>
        </w:rPr>
      </w:pPr>
      <w:r>
        <w:rPr>
          <w:rFonts w:ascii="仿宋_GB2312" w:eastAsia="仿宋_GB2312" w:cs="仿宋_GB2312" w:hAnsi="仿宋_GB2312" w:hint="eastAsia"/>
          <w:sz w:val="28"/>
          <w:szCs w:val="28"/>
        </w:rPr>
        <w:t>部门：</w:t>
      </w:r>
      <w:r>
        <w:rPr>
          <w:rFonts w:ascii="仿宋_GB2312" w:eastAsia="仿宋_GB2312" w:cs="仿宋_GB2312" w:hAnsi="仿宋_GB2312"/>
          <w:sz w:val="28"/>
          <w:szCs w:val="28"/>
        </w:rPr>
        <w:tab/>
        <w:tab/>
        <w:t xml:space="preserve">                                                                      </w:t>
        <w:tab/>
      </w:r>
      <w:r>
        <w:rPr>
          <w:rFonts w:ascii="仿宋_GB2312" w:eastAsia="仿宋_GB2312" w:cs="仿宋_GB2312" w:hAnsi="仿宋_GB2312" w:hint="eastAsia"/>
          <w:sz w:val="28"/>
          <w:szCs w:val="28"/>
        </w:rPr>
        <w:t>金额单位：万元</w:t>
      </w:r>
    </w:p>
    <w:tbl>
      <w:tblPr>
        <w:jc w:val="left"/>
        <w:tblInd w:w="95" w:type="dxa"/>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98"/>
        <w:gridCol w:w="2162"/>
        <w:gridCol w:w="1665"/>
        <w:gridCol w:w="2493"/>
        <w:gridCol w:w="833"/>
        <w:gridCol w:w="2231"/>
        <w:gridCol w:w="2231"/>
        <w:gridCol w:w="1672"/>
      </w:tblGrid>
      <w:tr>
        <w:trPr>
          <w:trHeight w:val="630"/>
        </w:trPr>
        <w:tc>
          <w:tcPr>
            <w:tcW w:w="1166"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单位编码</w:t>
            </w:r>
          </w:p>
        </w:tc>
        <w:tc>
          <w:tcPr>
            <w:tcW w:w="2104"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单位名称（科目）</w:t>
            </w:r>
          </w:p>
        </w:tc>
        <w:tc>
          <w:tcPr>
            <w:tcW w:w="10731" w:type="dxa"/>
            <w:gridSpan w:val="6"/>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当年财政拨款预算安排</w:t>
            </w:r>
          </w:p>
        </w:tc>
      </w:tr>
      <w:tr>
        <w:trPr>
          <w:trHeight w:val="630"/>
        </w:trPr>
        <w:tc>
          <w:tcPr>
            <w:tcW w:w="1166" w:type="dxa"/>
            <w:vMerge/>
            <w:vAlign w:val="center"/>
          </w:tcPr>
          <w:p/>
        </w:tc>
        <w:tc>
          <w:tcPr>
            <w:tcW w:w="2104" w:type="dxa"/>
            <w:vMerge/>
            <w:tcBorders>
              <w:top w:val="single" w:sz="4" w:space="0" w:color="auto"/>
              <w:left w:val="single" w:sz="4" w:space="0" w:color="auto"/>
              <w:right w:val="single" w:sz="4" w:space="0" w:color="auto"/>
            </w:tcBorders>
            <w:vAlign w:val="center"/>
          </w:tcPr>
          <w:p/>
        </w:tc>
        <w:tc>
          <w:tcPr>
            <w:tcW w:w="1620"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合计</w:t>
            </w:r>
          </w:p>
        </w:tc>
        <w:tc>
          <w:tcPr>
            <w:tcW w:w="2426" w:type="dxa"/>
            <w:vMerge w:val="restart"/>
            <w:tcBorders>
              <w:top w:val="single" w:sz="4" w:space="0" w:color="auto"/>
              <w:left w:val="single" w:sz="4" w:space="0" w:color="auto"/>
              <w:right w:val="single" w:sz="4" w:space="0" w:color="auto"/>
            </w:tcBorders>
            <w:shd w:val="clear" w:color="FFFFFF" w:fill="FFFFFF"/>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因公出国（境）费用</w:t>
            </w:r>
          </w:p>
        </w:tc>
        <w:tc>
          <w:tcPr>
            <w:tcW w:w="5153" w:type="dxa"/>
            <w:gridSpan w:val="3"/>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公务用车购置及运行费</w:t>
            </w:r>
          </w:p>
        </w:tc>
        <w:tc>
          <w:tcPr>
            <w:tcW w:w="1627"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公务接待费</w:t>
            </w:r>
          </w:p>
        </w:tc>
      </w:tr>
      <w:tr>
        <w:trPr>
          <w:trHeight w:val="630"/>
        </w:trPr>
        <w:tc>
          <w:tcPr>
            <w:tcW w:w="1166" w:type="dxa"/>
            <w:vMerge/>
            <w:vAlign w:val="center"/>
          </w:tcPr>
          <w:p/>
        </w:tc>
        <w:tc>
          <w:tcPr>
            <w:tcW w:w="2104" w:type="dxa"/>
            <w:vMerge/>
            <w:tcBorders>
              <w:top w:val="single" w:sz="4" w:space="0" w:color="auto"/>
              <w:left w:val="single" w:sz="4" w:space="0" w:color="auto"/>
              <w:right w:val="single" w:sz="4" w:space="0" w:color="auto"/>
            </w:tcBorders>
            <w:vAlign w:val="center"/>
          </w:tcPr>
          <w:p/>
        </w:tc>
        <w:tc>
          <w:tcPr>
            <w:tcW w:w="1620" w:type="dxa"/>
            <w:vMerge/>
            <w:tcBorders>
              <w:top w:val="single" w:sz="4" w:space="0" w:color="auto"/>
              <w:left w:val="single" w:sz="4" w:space="0" w:color="auto"/>
              <w:right w:val="single" w:sz="4" w:space="0" w:color="auto"/>
            </w:tcBorders>
            <w:vAlign w:val="center"/>
          </w:tcPr>
          <w:p/>
        </w:tc>
        <w:tc>
          <w:tcPr>
            <w:tcW w:w="2426" w:type="dxa"/>
            <w:vMerge/>
            <w:tcBorders>
              <w:top w:val="single" w:sz="4" w:space="0" w:color="auto"/>
              <w:left w:val="single" w:sz="4" w:space="0" w:color="auto"/>
              <w:right w:val="single" w:sz="4" w:space="0" w:color="auto"/>
            </w:tcBorders>
            <w:vAlign w:val="center"/>
          </w:tcPr>
          <w:p/>
        </w:tc>
        <w:tc>
          <w:tcPr>
            <w:tcW w:w="811"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小计</w:t>
            </w:r>
          </w:p>
        </w:tc>
        <w:tc>
          <w:tcPr>
            <w:tcW w:w="2171"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公务用车购置费</w:t>
            </w:r>
          </w:p>
        </w:tc>
        <w:tc>
          <w:tcPr>
            <w:tcW w:w="2171"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公务用车运行费</w:t>
            </w:r>
          </w:p>
        </w:tc>
        <w:tc>
          <w:tcPr>
            <w:tcW w:w="1627" w:type="dxa"/>
            <w:vMerge/>
            <w:vAlign w:val="center"/>
          </w:tcPr>
          <w:p/>
        </w:tc>
      </w:tr>
      <w:tr>
        <w:trPr>
          <w:trHeight w:val="630"/>
        </w:trPr>
        <w:tc>
          <w:tcPr>
            <w:tcW w:w="1166" w:type="dxa"/>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　</w:t>
            </w:r>
          </w:p>
        </w:tc>
        <w:tc>
          <w:tcPr>
            <w:tcW w:w="2104"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计</w:t>
            </w:r>
          </w:p>
        </w:tc>
        <w:tc>
          <w:tcPr>
            <w:tcW w:w="162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242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81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217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217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c>
          <w:tcPr>
            <w:tcW w:w="1627" w:type="dxa"/>
            <w:noWrap/>
            <w:vAlign w:val="center"/>
          </w:tcPr>
          <w:p>
            <w:pPr>
              <w:widowControl/>
              <w:suppressAutoHyphens w:val="0"/>
              <w:jc w:val="right"/>
              <w:rPr>
                <w:rFonts w:ascii="宋体" w:cs="宋体"/>
                <w:b/>
                <w:bCs/>
                <w:color w:val="000000"/>
                <w:kern w:val="0"/>
                <w:sz w:val="22"/>
                <w:szCs w:val="22"/>
              </w:rPr>
            </w:pPr>
            <w:r>
              <w:rPr>
                <w:rFonts w:ascii="宋体" w:cs="宋体" w:hAnsi="宋体" w:hint="eastAsia"/>
                <w:b/>
                <w:bCs/>
                <w:color w:val="000000"/>
                <w:kern w:val="0"/>
                <w:sz w:val="22"/>
                <w:szCs w:val="22"/>
              </w:rPr>
              <w:t>　</w:t>
            </w:r>
          </w:p>
        </w:tc>
      </w:tr>
      <w:tr>
        <w:trPr>
          <w:trHeight w:val="630"/>
        </w:trPr>
        <w:tc>
          <w:tcPr>
            <w:tcW w:w="1166" w:type="dxa"/>
            <w:shd w:val="clear" w:color="FFFFFF" w:fill="FFFFFF"/>
            <w:noWrap/>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2104"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1620"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426"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81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1" w:type="dxa"/>
            <w:tcBorders>
              <w:top w:val="single" w:sz="4" w:space="0" w:color="auto"/>
              <w:left w:val="single" w:sz="4" w:space="0" w:color="auto"/>
              <w:right w:val="single" w:sz="4" w:space="0" w:color="auto"/>
            </w:tcBorders>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627" w:type="dxa"/>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r>
        <w:trPr>
          <w:trHeight w:val="630"/>
        </w:trPr>
        <w:tc>
          <w:tcPr>
            <w:tcW w:w="1166" w:type="dxa"/>
            <w:shd w:val="clear" w:color="FFFFFF" w:fill="FFFFFF"/>
            <w:noWrap/>
            <w:vAlign w:val="center"/>
          </w:tcPr>
          <w:p>
            <w:pPr>
              <w:widowControl/>
              <w:suppressAutoHyphens w:val="0"/>
              <w:jc w:val="left"/>
              <w:rPr>
                <w:rFonts w:ascii="宋体" w:cs="宋体"/>
                <w:color w:val="000000"/>
                <w:kern w:val="0"/>
                <w:sz w:val="22"/>
                <w:szCs w:val="22"/>
              </w:rPr>
            </w:pPr>
            <w:r>
              <w:rPr>
                <w:rFonts w:ascii="宋体" w:cs="宋体" w:hAnsi="宋体" w:hint="eastAsia"/>
                <w:color w:val="000000"/>
                <w:kern w:val="0"/>
                <w:sz w:val="22"/>
                <w:szCs w:val="22"/>
              </w:rPr>
              <w:t>　</w:t>
            </w:r>
          </w:p>
        </w:tc>
        <w:tc>
          <w:tcPr>
            <w:tcW w:w="2104" w:type="dxa"/>
            <w:tcBorders>
              <w:top w:val="single" w:sz="4" w:space="0" w:color="auto"/>
              <w:left w:val="single" w:sz="4" w:space="0" w:color="auto"/>
              <w:right w:val="single" w:sz="4" w:space="0" w:color="auto"/>
            </w:tcBorders>
            <w:shd w:val="clear" w:color="FFFFFF" w:fill="FFFFFF"/>
            <w:vAlign w:val="center"/>
          </w:tcPr>
          <w:p>
            <w:pPr>
              <w:widowControl/>
              <w:suppressAutoHyphens w:val="0"/>
              <w:jc w:val="left"/>
              <w:rPr>
                <w:rFonts w:ascii="宋体" w:cs="宋体"/>
                <w:color w:val="000000"/>
                <w:kern w:val="0"/>
                <w:sz w:val="22"/>
                <w:szCs w:val="22"/>
              </w:rPr>
            </w:pPr>
            <w:r>
              <w:rPr>
                <w:rFonts w:ascii="Times New Roman" w:hAnsi="Times New Roman"/>
                <w:color w:val="000000"/>
                <w:kern w:val="0"/>
                <w:sz w:val="22"/>
                <w:szCs w:val="22"/>
              </w:rPr>
              <w:t> </w:t>
            </w:r>
          </w:p>
        </w:tc>
        <w:tc>
          <w:tcPr>
            <w:tcW w:w="162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r>
              <w:rPr>
                <w:rFonts w:ascii="宋体" w:cs="宋体" w:hAnsi="宋体" w:hint="eastAsia"/>
                <w:color w:val="000000"/>
                <w:kern w:val="0"/>
                <w:sz w:val="22"/>
                <w:szCs w:val="22"/>
              </w:rPr>
              <w:t>本表无数据</w:t>
            </w:r>
          </w:p>
        </w:tc>
        <w:tc>
          <w:tcPr>
            <w:tcW w:w="2426"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811"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1"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2171"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c>
          <w:tcPr>
            <w:tcW w:w="1627" w:type="dxa"/>
            <w:shd w:val="clear" w:color="FFFFFF" w:fill="FFFFFF"/>
            <w:noWrap/>
            <w:vAlign w:val="center"/>
          </w:tcPr>
          <w:p>
            <w:pPr>
              <w:widowControl/>
              <w:suppressAutoHyphens w:val="0"/>
              <w:jc w:val="right"/>
              <w:rPr>
                <w:rFonts w:ascii="宋体" w:cs="宋体"/>
                <w:color w:val="000000"/>
                <w:kern w:val="0"/>
                <w:sz w:val="22"/>
                <w:szCs w:val="22"/>
              </w:rPr>
            </w:pPr>
            <w:r>
              <w:rPr>
                <w:rFonts w:ascii="宋体" w:cs="宋体" w:hAnsi="宋体" w:hint="eastAsia"/>
                <w:color w:val="000000"/>
                <w:kern w:val="0"/>
                <w:sz w:val="22"/>
                <w:szCs w:val="22"/>
              </w:rPr>
              <w:t>　</w:t>
            </w:r>
          </w:p>
        </w:tc>
      </w:tr>
    </w:tbl>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r>
        <w:rPr>
          <w:rFonts w:ascii="黑体" w:eastAsia="黑体" w:cs="方正小标宋简体" w:hAnsi="黑体" w:hint="eastAsia"/>
          <w:color w:val="000000"/>
          <w:kern w:val="0"/>
          <w:sz w:val="32"/>
          <w:szCs w:val="32"/>
          <w:shd w:val="clear" w:color="auto" w:fill="FFFFFF"/>
        </w:rPr>
        <w:t>表</w:t>
      </w:r>
      <w:r>
        <w:rPr>
          <w:rFonts w:ascii="黑体" w:eastAsia="黑体" w:cs="方正小标宋简体" w:hAnsi="黑体"/>
          <w:color w:val="000000"/>
          <w:kern w:val="0"/>
          <w:sz w:val="32"/>
          <w:szCs w:val="32"/>
          <w:shd w:val="clear" w:color="auto" w:fill="FFFFFF"/>
        </w:rPr>
        <w:t>12</w:t>
      </w:r>
    </w:p>
    <w:p>
      <w:pPr>
        <w:adjustRightInd w:val="0"/>
        <w:snapToGrid w:val="0"/>
        <w:jc w:val="center"/>
        <w:outlineLvl w:val="0"/>
        <w:rPr>
          <w:rFonts w:ascii="方正小标宋简体" w:eastAsia="方正小标宋简体" w:cs="方正小标宋简体" w:hAnsi="方正小标宋简体"/>
          <w:color w:val="000000"/>
          <w:kern w:val="0"/>
          <w:sz w:val="44"/>
          <w:szCs w:val="44"/>
          <w:shd w:val="clear" w:color="auto" w:fill="FFFFFF"/>
        </w:rPr>
      </w:pPr>
      <w:bookmarkStart w:id="34" w:name="_Toc188545374"/>
      <w:bookmarkStart w:id="35" w:name="_Toc188545595"/>
      <w:r>
        <w:rPr>
          <w:rFonts w:ascii="方正小标宋简体" w:eastAsia="方正小标宋简体" w:cs="方正小标宋简体" w:hAnsi="方正小标宋简体" w:hint="eastAsia"/>
          <w:color w:val="000000"/>
          <w:kern w:val="0"/>
          <w:sz w:val="44"/>
          <w:szCs w:val="44"/>
          <w:shd w:val="clear" w:color="auto" w:fill="FFFFFF"/>
        </w:rPr>
        <w:t>国有资本经营预算支出预算表</w:t>
      </w:r>
      <w:bookmarkEnd w:id="34"/>
      <w:bookmarkEnd w:id="35"/>
    </w:p>
    <w:p>
      <w:pPr>
        <w:adjustRightInd w:val="0"/>
        <w:snapToGrid w:val="0"/>
        <w:spacing w:beforeLines="50" w:before="156" w:afterLines="20" w:after="62"/>
        <w:rPr>
          <w:rFonts w:ascii="仿宋_GB2312" w:eastAsia="仿宋_GB2312" w:cs="仿宋_GB2312" w:hAnsi="仿宋_GB2312"/>
          <w:sz w:val="28"/>
          <w:szCs w:val="28"/>
        </w:rPr>
      </w:pPr>
      <w:r>
        <w:rPr>
          <w:rFonts w:ascii="仿宋_GB2312" w:eastAsia="仿宋_GB2312" w:cs="仿宋_GB2312" w:hAnsi="仿宋_GB2312" w:hint="eastAsia"/>
          <w:sz w:val="28"/>
          <w:szCs w:val="28"/>
        </w:rPr>
        <w:t>部门：</w:t>
      </w:r>
      <w:r>
        <w:rPr>
          <w:rFonts w:ascii="仿宋_GB2312" w:eastAsia="仿宋_GB2312" w:cs="仿宋_GB2312" w:hAnsi="仿宋_GB2312"/>
          <w:sz w:val="28"/>
          <w:szCs w:val="28"/>
        </w:rPr>
        <w:tab/>
        <w:tab/>
        <w:t xml:space="preserve">                                                                      </w:t>
        <w:tab/>
      </w:r>
      <w:r>
        <w:rPr>
          <w:rFonts w:ascii="仿宋_GB2312" w:eastAsia="仿宋_GB2312" w:cs="仿宋_GB2312" w:hAnsi="仿宋_GB2312" w:hint="eastAsia"/>
          <w:sz w:val="28"/>
          <w:szCs w:val="28"/>
        </w:rPr>
        <w:t>金额单位：万元</w:t>
      </w:r>
    </w:p>
    <w:tbl>
      <w:tblPr>
        <w:jc w:val="left"/>
        <w:tblInd w:w="95" w:type="dxa"/>
        <w:tblW w:w="13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680"/>
        <w:gridCol w:w="680"/>
        <w:gridCol w:w="680"/>
        <w:gridCol w:w="1569"/>
        <w:gridCol w:w="4994"/>
        <w:gridCol w:w="1080"/>
        <w:gridCol w:w="2100"/>
        <w:gridCol w:w="2100"/>
      </w:tblGrid>
      <w:tr>
        <w:trPr>
          <w:trHeight w:val="660"/>
        </w:trPr>
        <w:tc>
          <w:tcPr>
            <w:tcW w:w="680" w:type="dxa"/>
            <w:gridSpan w:val="5"/>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目</w:t>
            </w:r>
          </w:p>
        </w:tc>
        <w:tc>
          <w:tcPr>
            <w:tcW w:w="5280" w:type="dxa"/>
            <w:gridSpan w:val="3"/>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本年国有资本经营预算支出</w:t>
            </w:r>
          </w:p>
        </w:tc>
      </w:tr>
      <w:tr>
        <w:trPr>
          <w:trHeight w:val="660"/>
        </w:trPr>
        <w:tc>
          <w:tcPr>
            <w:tcW w:w="680" w:type="dxa"/>
            <w:gridSpan w:val="3"/>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科目编码</w:t>
            </w:r>
          </w:p>
        </w:tc>
        <w:tc>
          <w:tcPr>
            <w:tcW w:w="1569"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单位代码</w:t>
            </w:r>
          </w:p>
        </w:tc>
        <w:tc>
          <w:tcPr>
            <w:tcW w:w="4994"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单位名称（科目）</w:t>
            </w:r>
          </w:p>
        </w:tc>
        <w:tc>
          <w:tcPr>
            <w:tcW w:w="1080"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合计</w:t>
            </w:r>
          </w:p>
        </w:tc>
        <w:tc>
          <w:tcPr>
            <w:tcW w:w="2100" w:type="dxa"/>
            <w:vMerge w:val="restart"/>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基本支出</w:t>
            </w:r>
          </w:p>
        </w:tc>
        <w:tc>
          <w:tcPr>
            <w:tcW w:w="2100" w:type="dxa"/>
            <w:vMerge w:val="restart"/>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项目支出</w:t>
            </w:r>
          </w:p>
        </w:tc>
      </w:tr>
      <w:tr>
        <w:trPr>
          <w:trHeight w:val="660"/>
        </w:trPr>
        <w:tc>
          <w:tcPr>
            <w:tcW w:w="680" w:type="dxa"/>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类</w:t>
            </w:r>
          </w:p>
        </w:tc>
        <w:tc>
          <w:tcPr>
            <w:tcW w:w="68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款</w:t>
            </w:r>
          </w:p>
        </w:tc>
        <w:tc>
          <w:tcPr>
            <w:tcW w:w="68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项</w:t>
            </w:r>
          </w:p>
        </w:tc>
        <w:tc>
          <w:tcPr>
            <w:tcW w:w="1569" w:type="dxa"/>
            <w:vMerge/>
            <w:tcBorders>
              <w:top w:val="single" w:sz="4" w:space="0" w:color="auto"/>
              <w:left w:val="single" w:sz="4" w:space="0" w:color="auto"/>
              <w:right w:val="single" w:sz="4" w:space="0" w:color="auto"/>
            </w:tcBorders>
            <w:vAlign w:val="center"/>
          </w:tcPr>
          <w:p/>
        </w:tc>
        <w:tc>
          <w:tcPr>
            <w:tcW w:w="4994" w:type="dxa"/>
            <w:vMerge/>
            <w:tcBorders>
              <w:top w:val="single" w:sz="4" w:space="0" w:color="auto"/>
              <w:left w:val="single" w:sz="4" w:space="0" w:color="auto"/>
              <w:right w:val="single" w:sz="4" w:space="0" w:color="auto"/>
            </w:tcBorders>
            <w:vAlign w:val="center"/>
          </w:tcPr>
          <w:p/>
        </w:tc>
        <w:tc>
          <w:tcPr>
            <w:tcW w:w="1080" w:type="dxa"/>
            <w:vMerge/>
            <w:tcBorders>
              <w:top w:val="single" w:sz="4" w:space="0" w:color="auto"/>
              <w:left w:val="single" w:sz="4" w:space="0" w:color="auto"/>
              <w:right w:val="single" w:sz="4" w:space="0" w:color="auto"/>
            </w:tcBorders>
            <w:vAlign w:val="center"/>
          </w:tcPr>
          <w:p/>
        </w:tc>
        <w:tc>
          <w:tcPr>
            <w:tcW w:w="2100" w:type="dxa"/>
            <w:vMerge/>
            <w:tcBorders>
              <w:top w:val="single" w:sz="4" w:space="0" w:color="auto"/>
              <w:left w:val="single" w:sz="4" w:space="0" w:color="auto"/>
              <w:right w:val="single" w:sz="4" w:space="0" w:color="auto"/>
            </w:tcBorders>
            <w:vAlign w:val="center"/>
          </w:tcPr>
          <w:p/>
        </w:tc>
        <w:tc>
          <w:tcPr>
            <w:tcW w:w="2100" w:type="dxa"/>
            <w:vMerge/>
            <w:vAlign w:val="center"/>
          </w:tcPr>
          <w:p/>
        </w:tc>
      </w:tr>
      <w:tr>
        <w:trPr>
          <w:trHeight w:val="660"/>
        </w:trPr>
        <w:tc>
          <w:tcPr>
            <w:tcW w:w="680" w:type="dxa"/>
            <w:noWrap/>
            <w:vAlign w:val="center"/>
          </w:tcPr>
          <w:p>
            <w:pPr>
              <w:widowControl/>
              <w:suppressAutoHyphens w:val="0"/>
              <w:jc w:val="center"/>
              <w:rPr>
                <w:rFonts w:ascii="宋体" w:cs="宋体"/>
                <w:b/>
                <w:bCs/>
                <w:color w:val="000000"/>
                <w:kern w:val="0"/>
                <w:sz w:val="22"/>
                <w:szCs w:val="22"/>
              </w:rPr>
            </w:pPr>
          </w:p>
        </w:tc>
        <w:tc>
          <w:tcPr>
            <w:tcW w:w="680"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680"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1569"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4994"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r>
              <w:rPr>
                <w:rFonts w:ascii="宋体" w:cs="宋体" w:hAnsi="宋体" w:hint="eastAsia"/>
                <w:b/>
                <w:bCs/>
                <w:color w:val="000000"/>
                <w:kern w:val="0"/>
                <w:sz w:val="22"/>
                <w:szCs w:val="22"/>
              </w:rPr>
              <w:t>合</w:t>
            </w:r>
            <w:r>
              <w:rPr>
                <w:rFonts w:ascii="宋体" w:cs="宋体" w:hAnsi="宋体"/>
                <w:b/>
                <w:bCs/>
                <w:color w:val="000000"/>
                <w:kern w:val="0"/>
                <w:sz w:val="22"/>
                <w:szCs w:val="22"/>
              </w:rPr>
              <w:t xml:space="preserve">    </w:t>
            </w:r>
            <w:r>
              <w:rPr>
                <w:rFonts w:ascii="宋体" w:cs="宋体" w:hAnsi="宋体" w:hint="eastAsia"/>
                <w:b/>
                <w:bCs/>
                <w:color w:val="000000"/>
                <w:kern w:val="0"/>
                <w:sz w:val="22"/>
                <w:szCs w:val="22"/>
              </w:rPr>
              <w:t>计</w:t>
            </w:r>
          </w:p>
        </w:tc>
        <w:tc>
          <w:tcPr>
            <w:tcW w:w="1080"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2100"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b/>
                <w:bCs/>
                <w:color w:val="000000"/>
                <w:kern w:val="0"/>
                <w:sz w:val="22"/>
                <w:szCs w:val="22"/>
              </w:rPr>
            </w:pPr>
          </w:p>
        </w:tc>
        <w:tc>
          <w:tcPr>
            <w:tcW w:w="2100" w:type="dxa"/>
            <w:noWrap/>
            <w:vAlign w:val="center"/>
          </w:tcPr>
          <w:p>
            <w:pPr>
              <w:widowControl/>
              <w:suppressAutoHyphens w:val="0"/>
              <w:jc w:val="center"/>
              <w:rPr>
                <w:rFonts w:ascii="宋体" w:cs="宋体"/>
                <w:b/>
                <w:bCs/>
                <w:color w:val="000000"/>
                <w:kern w:val="0"/>
                <w:sz w:val="22"/>
                <w:szCs w:val="22"/>
              </w:rPr>
            </w:pPr>
          </w:p>
        </w:tc>
      </w:tr>
      <w:tr>
        <w:trPr>
          <w:trHeight w:val="660"/>
        </w:trPr>
        <w:tc>
          <w:tcPr>
            <w:tcW w:w="680" w:type="dxa"/>
            <w:shd w:val="clear" w:color="FFFFFF" w:fill="FFFFFF"/>
            <w:noWrap/>
            <w:vAlign w:val="center"/>
          </w:tcPr>
          <w:p>
            <w:pPr>
              <w:widowControl/>
              <w:suppressAutoHyphens w:val="0"/>
              <w:jc w:val="center"/>
              <w:rPr>
                <w:rFonts w:ascii="宋体" w:cs="宋体"/>
                <w:color w:val="000000"/>
                <w:kern w:val="0"/>
                <w:sz w:val="22"/>
                <w:szCs w:val="22"/>
              </w:rPr>
            </w:pPr>
          </w:p>
        </w:tc>
        <w:tc>
          <w:tcPr>
            <w:tcW w:w="68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68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1569"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4994" w:type="dxa"/>
            <w:tcBorders>
              <w:top w:val="single" w:sz="4" w:space="0" w:color="auto"/>
              <w:left w:val="single" w:sz="4" w:space="0" w:color="auto"/>
              <w:right w:val="single" w:sz="4" w:space="0" w:color="auto"/>
            </w:tcBorders>
            <w:shd w:val="clear" w:color="FFFFFF" w:fill="FFFFFF"/>
            <w:vAlign w:val="center"/>
          </w:tcPr>
          <w:p>
            <w:pPr>
              <w:widowControl/>
              <w:suppressAutoHyphens w:val="0"/>
              <w:jc w:val="center"/>
              <w:rPr>
                <w:rFonts w:ascii="宋体" w:cs="宋体"/>
                <w:color w:val="000000"/>
                <w:kern w:val="0"/>
                <w:sz w:val="22"/>
                <w:szCs w:val="22"/>
              </w:rPr>
            </w:pPr>
          </w:p>
        </w:tc>
        <w:tc>
          <w:tcPr>
            <w:tcW w:w="1080"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p>
        </w:tc>
        <w:tc>
          <w:tcPr>
            <w:tcW w:w="2100"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p>
        </w:tc>
        <w:tc>
          <w:tcPr>
            <w:tcW w:w="2100" w:type="dxa"/>
            <w:noWrap/>
            <w:vAlign w:val="center"/>
          </w:tcPr>
          <w:p>
            <w:pPr>
              <w:widowControl/>
              <w:suppressAutoHyphens w:val="0"/>
              <w:jc w:val="center"/>
              <w:rPr>
                <w:rFonts w:ascii="宋体" w:cs="宋体"/>
                <w:color w:val="000000"/>
                <w:kern w:val="0"/>
                <w:sz w:val="22"/>
                <w:szCs w:val="22"/>
              </w:rPr>
            </w:pPr>
          </w:p>
        </w:tc>
      </w:tr>
      <w:tr>
        <w:trPr>
          <w:trHeight w:val="660"/>
        </w:trPr>
        <w:tc>
          <w:tcPr>
            <w:tcW w:w="680" w:type="dxa"/>
            <w:shd w:val="clear" w:color="FFFFFF" w:fill="FFFFFF"/>
            <w:noWrap/>
            <w:vAlign w:val="center"/>
          </w:tcPr>
          <w:p>
            <w:pPr>
              <w:widowControl/>
              <w:suppressAutoHyphens w:val="0"/>
              <w:jc w:val="center"/>
              <w:rPr>
                <w:rFonts w:ascii="宋体" w:cs="宋体"/>
                <w:color w:val="000000"/>
                <w:kern w:val="0"/>
                <w:sz w:val="22"/>
                <w:szCs w:val="22"/>
              </w:rPr>
            </w:pPr>
          </w:p>
        </w:tc>
        <w:tc>
          <w:tcPr>
            <w:tcW w:w="68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680"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1569" w:type="dxa"/>
            <w:tcBorders>
              <w:top w:val="single" w:sz="4" w:space="0" w:color="auto"/>
              <w:left w:val="single" w:sz="4" w:space="0" w:color="auto"/>
              <w:right w:val="single" w:sz="4" w:space="0" w:color="auto"/>
            </w:tcBorders>
            <w:shd w:val="clear" w:color="FFFFFF" w:fill="FFFFFF"/>
            <w:noWrap/>
            <w:vAlign w:val="center"/>
          </w:tcPr>
          <w:p>
            <w:pPr>
              <w:widowControl/>
              <w:suppressAutoHyphens w:val="0"/>
              <w:jc w:val="center"/>
              <w:rPr>
                <w:rFonts w:ascii="宋体" w:cs="宋体"/>
                <w:color w:val="000000"/>
                <w:kern w:val="0"/>
                <w:sz w:val="22"/>
                <w:szCs w:val="22"/>
              </w:rPr>
            </w:pPr>
          </w:p>
        </w:tc>
        <w:tc>
          <w:tcPr>
            <w:tcW w:w="4994" w:type="dxa"/>
            <w:tcBorders>
              <w:top w:val="single" w:sz="4" w:space="0" w:color="auto"/>
              <w:left w:val="single" w:sz="4" w:space="0" w:color="auto"/>
              <w:right w:val="single" w:sz="4" w:space="0" w:color="auto"/>
            </w:tcBorders>
            <w:shd w:val="clear" w:color="FFFFFF" w:fill="FFFFFF"/>
            <w:vAlign w:val="center"/>
          </w:tcPr>
          <w:p>
            <w:pPr>
              <w:widowControl/>
              <w:suppressAutoHyphens w:val="0"/>
              <w:jc w:val="center"/>
              <w:rPr>
                <w:rFonts w:ascii="宋体" w:cs="宋体"/>
                <w:color w:val="000000"/>
                <w:kern w:val="0"/>
                <w:sz w:val="22"/>
                <w:szCs w:val="22"/>
              </w:rPr>
            </w:pPr>
            <w:r>
              <w:rPr>
                <w:rFonts w:ascii="宋体" w:cs="宋体" w:hAnsi="宋体" w:hint="eastAsia"/>
                <w:color w:val="000000"/>
                <w:kern w:val="0"/>
                <w:sz w:val="22"/>
                <w:szCs w:val="22"/>
              </w:rPr>
              <w:t>本表无数据</w:t>
            </w:r>
          </w:p>
        </w:tc>
        <w:tc>
          <w:tcPr>
            <w:tcW w:w="1080"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p>
        </w:tc>
        <w:tc>
          <w:tcPr>
            <w:tcW w:w="2100" w:type="dxa"/>
            <w:tcBorders>
              <w:top w:val="single" w:sz="4" w:space="0" w:color="auto"/>
              <w:left w:val="single" w:sz="4" w:space="0" w:color="auto"/>
              <w:right w:val="single" w:sz="4" w:space="0" w:color="auto"/>
            </w:tcBorders>
            <w:noWrap/>
            <w:vAlign w:val="center"/>
          </w:tcPr>
          <w:p>
            <w:pPr>
              <w:widowControl/>
              <w:suppressAutoHyphens w:val="0"/>
              <w:jc w:val="center"/>
              <w:rPr>
                <w:rFonts w:ascii="宋体" w:cs="宋体"/>
                <w:color w:val="000000"/>
                <w:kern w:val="0"/>
                <w:sz w:val="22"/>
                <w:szCs w:val="22"/>
              </w:rPr>
            </w:pPr>
          </w:p>
        </w:tc>
        <w:tc>
          <w:tcPr>
            <w:tcW w:w="2100" w:type="dxa"/>
            <w:noWrap/>
            <w:vAlign w:val="center"/>
          </w:tcPr>
          <w:p>
            <w:pPr>
              <w:widowControl/>
              <w:suppressAutoHyphens w:val="0"/>
              <w:jc w:val="center"/>
              <w:rPr>
                <w:rFonts w:ascii="宋体" w:cs="宋体"/>
                <w:color w:val="000000"/>
                <w:kern w:val="0"/>
                <w:sz w:val="22"/>
                <w:szCs w:val="22"/>
              </w:rPr>
            </w:pPr>
          </w:p>
        </w:tc>
      </w:tr>
    </w:tbl>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r>
        <w:rPr>
          <w:rFonts w:ascii="黑体" w:eastAsia="黑体" w:cs="方正小标宋简体" w:hAnsi="黑体" w:hint="eastAsia"/>
          <w:color w:val="000000"/>
          <w:kern w:val="0"/>
          <w:sz w:val="32"/>
          <w:szCs w:val="32"/>
          <w:shd w:val="clear" w:color="auto" w:fill="FFFFFF"/>
        </w:rPr>
        <w:t>表</w:t>
      </w:r>
      <w:r>
        <w:rPr>
          <w:rFonts w:ascii="黑体" w:eastAsia="黑体" w:cs="方正小标宋简体" w:hAnsi="黑体"/>
          <w:color w:val="000000"/>
          <w:kern w:val="0"/>
          <w:sz w:val="32"/>
          <w:szCs w:val="32"/>
          <w:shd w:val="clear" w:color="auto" w:fill="FFFFFF"/>
        </w:rPr>
        <w:t>13</w:t>
      </w:r>
    </w:p>
    <w:p>
      <w:pPr>
        <w:adjustRightInd w:val="0"/>
        <w:snapToGrid w:val="0"/>
        <w:jc w:val="center"/>
        <w:outlineLvl w:val="0"/>
        <w:rPr>
          <w:rFonts w:ascii="方正小标宋简体" w:eastAsia="方正小标宋简体" w:cs="方正小标宋简体" w:hAnsi="方正小标宋简体"/>
          <w:color w:val="000000"/>
          <w:kern w:val="0"/>
          <w:sz w:val="44"/>
          <w:szCs w:val="44"/>
          <w:shd w:val="clear" w:color="auto" w:fill="FFFFFF"/>
        </w:rPr>
      </w:pPr>
      <w:bookmarkStart w:id="36" w:name="_Toc188545596"/>
      <w:bookmarkStart w:id="37" w:name="_Toc188545375"/>
      <w:r>
        <w:rPr>
          <w:rFonts w:ascii="方正小标宋简体" w:eastAsia="方正小标宋简体" w:cs="方正小标宋简体" w:hAnsi="方正小标宋简体" w:hint="eastAsia"/>
          <w:color w:val="000000"/>
          <w:kern w:val="0"/>
          <w:sz w:val="44"/>
          <w:szCs w:val="44"/>
          <w:shd w:val="clear" w:color="auto" w:fill="FFFFFF"/>
        </w:rPr>
        <w:t>部门预算项目支出绩效目标表（</w:t>
      </w:r>
      <w:r>
        <w:rPr>
          <w:rFonts w:ascii="方正小标宋简体" w:eastAsia="方正小标宋简体" w:cs="方正小标宋简体" w:hAnsi="方正小标宋简体"/>
          <w:color w:val="000000"/>
          <w:kern w:val="0"/>
          <w:sz w:val="44"/>
          <w:szCs w:val="44"/>
          <w:shd w:val="clear" w:color="auto" w:fill="FFFFFF"/>
        </w:rPr>
        <w:t>2025</w:t>
      </w:r>
      <w:r>
        <w:rPr>
          <w:rFonts w:ascii="方正小标宋简体" w:eastAsia="方正小标宋简体" w:cs="方正小标宋简体" w:hAnsi="方正小标宋简体" w:hint="eastAsia"/>
          <w:color w:val="000000"/>
          <w:kern w:val="0"/>
          <w:sz w:val="44"/>
          <w:szCs w:val="44"/>
          <w:shd w:val="clear" w:color="auto" w:fill="FFFFFF"/>
        </w:rPr>
        <w:t>年度）</w:t>
      </w:r>
      <w:bookmarkEnd w:id="36"/>
      <w:bookmarkEnd w:id="37"/>
    </w:p>
    <w:p>
      <w:pPr>
        <w:adjustRightInd w:val="0"/>
        <w:snapToGrid w:val="0"/>
        <w:rPr>
          <w:rFonts w:ascii="仿宋_GB2312" w:eastAsia="仿宋_GB2312" w:cs="仿宋_GB2312" w:hAnsi="仿宋_GB2312"/>
          <w:sz w:val="28"/>
          <w:szCs w:val="28"/>
        </w:rPr>
      </w:pPr>
      <w:r>
        <w:rPr>
          <w:rFonts w:ascii="仿宋_GB2312" w:eastAsia="仿宋_GB2312" w:cs="仿宋_GB2312" w:hAnsi="仿宋_GB2312" w:hint="eastAsia"/>
          <w:sz w:val="28"/>
          <w:szCs w:val="28"/>
        </w:rPr>
        <w:t>部门：</w:t>
      </w:r>
      <w:r>
        <w:rPr>
          <w:rFonts w:ascii="仿宋_GB2312" w:eastAsia="仿宋_GB2312" w:cs="仿宋_GB2312" w:hAnsi="仿宋_GB2312"/>
          <w:sz w:val="28"/>
          <w:szCs w:val="28"/>
        </w:rPr>
        <w:tab/>
        <w:tab/>
        <w:t xml:space="preserve">                                                                      </w:t>
        <w:tab/>
      </w:r>
      <w:r>
        <w:rPr>
          <w:rFonts w:ascii="仿宋_GB2312" w:eastAsia="仿宋_GB2312" w:cs="仿宋_GB2312" w:hAnsi="仿宋_GB2312" w:hint="eastAsia"/>
          <w:sz w:val="28"/>
          <w:szCs w:val="28"/>
        </w:rPr>
        <w:t>金额单位：万元</w:t>
      </w:r>
    </w:p>
    <w:tbl>
      <w:tblPr>
        <w:jc w:val="cente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34" w:type="dxa"/>
          <w:bottom w:w="0" w:type="dxa"/>
          <w:right w:w="34" w:type="dxa"/>
        </w:tblCellMar>
      </w:tblPr>
      <w:tblGrid>
        <w:gridCol w:w="880"/>
        <w:gridCol w:w="921"/>
        <w:gridCol w:w="720"/>
        <w:gridCol w:w="3047"/>
        <w:gridCol w:w="1072"/>
        <w:gridCol w:w="1820"/>
        <w:gridCol w:w="2240"/>
        <w:gridCol w:w="800"/>
        <w:gridCol w:w="620"/>
        <w:gridCol w:w="940"/>
        <w:gridCol w:w="940"/>
        <w:gridCol w:w="1060"/>
      </w:tblGrid>
      <w:tr>
        <w:trPr>
          <w:trHeight w:val="312"/>
          <w:tblHeader/>
        </w:trPr>
        <w:tc>
          <w:tcPr>
            <w:tcW w:w="880" w:type="dxa"/>
            <w:noWrap/>
            <w:vAlign w:val="center"/>
          </w:tcPr>
          <w:p>
            <w:pPr>
              <w:widowControl/>
              <w:suppressAutoHyphens w:val="0"/>
              <w:adjustRightInd w:val="0"/>
              <w:snapToGrid w:val="0"/>
              <w:jc w:val="center"/>
              <w:rPr>
                <w:rFonts w:ascii="宋体" w:cs="宋体"/>
                <w:b/>
                <w:bCs/>
                <w:color w:val="000000"/>
                <w:kern w:val="0"/>
                <w:sz w:val="20"/>
                <w:szCs w:val="20"/>
              </w:rPr>
            </w:pPr>
            <w:r>
              <w:rPr>
                <w:rFonts w:ascii="宋体" w:cs="宋体" w:hAnsi="宋体" w:hint="eastAsia"/>
                <w:b/>
                <w:bCs/>
                <w:color w:val="000000"/>
                <w:kern w:val="0"/>
                <w:sz w:val="20"/>
                <w:szCs w:val="20"/>
              </w:rPr>
              <w:t>单位名称</w:t>
            </w:r>
          </w:p>
        </w:tc>
        <w:tc>
          <w:tcPr>
            <w:tcW w:w="921" w:type="dxa"/>
            <w:noWrap/>
            <w:vAlign w:val="center"/>
          </w:tcPr>
          <w:p>
            <w:pPr>
              <w:widowControl/>
              <w:suppressAutoHyphens w:val="0"/>
              <w:adjustRightInd w:val="0"/>
              <w:snapToGrid w:val="0"/>
              <w:jc w:val="center"/>
              <w:rPr>
                <w:rFonts w:ascii="宋体" w:cs="宋体"/>
                <w:b/>
                <w:bCs/>
                <w:color w:val="000000"/>
                <w:kern w:val="0"/>
                <w:sz w:val="20"/>
                <w:szCs w:val="20"/>
              </w:rPr>
            </w:pPr>
            <w:r>
              <w:rPr>
                <w:rFonts w:ascii="宋体" w:cs="宋体" w:hAnsi="宋体" w:hint="eastAsia"/>
                <w:b/>
                <w:bCs/>
                <w:color w:val="000000"/>
                <w:kern w:val="0"/>
                <w:sz w:val="20"/>
                <w:szCs w:val="20"/>
              </w:rPr>
              <w:t>项目名称</w:t>
            </w:r>
          </w:p>
        </w:tc>
        <w:tc>
          <w:tcPr>
            <w:tcW w:w="720" w:type="dxa"/>
            <w:noWrap/>
            <w:vAlign w:val="center"/>
          </w:tcPr>
          <w:p>
            <w:pPr>
              <w:widowControl/>
              <w:suppressAutoHyphens w:val="0"/>
              <w:adjustRightInd w:val="0"/>
              <w:snapToGrid w:val="0"/>
              <w:jc w:val="center"/>
              <w:rPr>
                <w:rFonts w:ascii="宋体" w:cs="宋体"/>
                <w:b/>
                <w:bCs/>
                <w:color w:val="000000"/>
                <w:kern w:val="0"/>
                <w:sz w:val="20"/>
                <w:szCs w:val="20"/>
              </w:rPr>
            </w:pPr>
            <w:r>
              <w:rPr>
                <w:rFonts w:ascii="宋体" w:cs="宋体" w:hAnsi="宋体" w:hint="eastAsia"/>
                <w:b/>
                <w:bCs/>
                <w:color w:val="000000"/>
                <w:kern w:val="0"/>
                <w:sz w:val="20"/>
                <w:szCs w:val="20"/>
              </w:rPr>
              <w:t>预算数</w:t>
            </w:r>
          </w:p>
        </w:tc>
        <w:tc>
          <w:tcPr>
            <w:tcW w:w="3047" w:type="dxa"/>
            <w:noWrap/>
            <w:vAlign w:val="center"/>
          </w:tcPr>
          <w:p>
            <w:pPr>
              <w:widowControl/>
              <w:suppressAutoHyphens w:val="0"/>
              <w:adjustRightInd w:val="0"/>
              <w:snapToGrid w:val="0"/>
              <w:jc w:val="center"/>
              <w:rPr>
                <w:rFonts w:ascii="宋体" w:cs="宋体"/>
                <w:b/>
                <w:bCs/>
                <w:color w:val="000000"/>
                <w:kern w:val="0"/>
                <w:sz w:val="20"/>
                <w:szCs w:val="20"/>
              </w:rPr>
            </w:pPr>
            <w:r>
              <w:rPr>
                <w:rFonts w:ascii="宋体" w:cs="宋体" w:hAnsi="宋体" w:hint="eastAsia"/>
                <w:b/>
                <w:bCs/>
                <w:color w:val="000000"/>
                <w:kern w:val="0"/>
                <w:sz w:val="20"/>
                <w:szCs w:val="20"/>
              </w:rPr>
              <w:t>年度目标</w:t>
            </w:r>
          </w:p>
        </w:tc>
        <w:tc>
          <w:tcPr>
            <w:tcW w:w="1072" w:type="dxa"/>
            <w:noWrap/>
            <w:vAlign w:val="center"/>
          </w:tcPr>
          <w:p>
            <w:pPr>
              <w:widowControl/>
              <w:suppressAutoHyphens w:val="0"/>
              <w:adjustRightInd w:val="0"/>
              <w:snapToGrid w:val="0"/>
              <w:jc w:val="center"/>
              <w:rPr>
                <w:rFonts w:ascii="宋体" w:cs="宋体"/>
                <w:b/>
                <w:bCs/>
                <w:color w:val="000000"/>
                <w:kern w:val="0"/>
                <w:sz w:val="20"/>
                <w:szCs w:val="20"/>
              </w:rPr>
            </w:pPr>
            <w:r>
              <w:rPr>
                <w:rFonts w:ascii="宋体" w:cs="宋体" w:hAnsi="宋体" w:hint="eastAsia"/>
                <w:b/>
                <w:bCs/>
                <w:color w:val="000000"/>
                <w:kern w:val="0"/>
                <w:sz w:val="20"/>
                <w:szCs w:val="20"/>
              </w:rPr>
              <w:t>一级指标</w:t>
            </w:r>
          </w:p>
        </w:tc>
        <w:tc>
          <w:tcPr>
            <w:tcW w:w="1820" w:type="dxa"/>
            <w:noWrap/>
            <w:vAlign w:val="center"/>
          </w:tcPr>
          <w:p>
            <w:pPr>
              <w:widowControl/>
              <w:suppressAutoHyphens w:val="0"/>
              <w:adjustRightInd w:val="0"/>
              <w:snapToGrid w:val="0"/>
              <w:jc w:val="center"/>
              <w:rPr>
                <w:rFonts w:ascii="宋体" w:cs="宋体"/>
                <w:b/>
                <w:bCs/>
                <w:color w:val="000000"/>
                <w:kern w:val="0"/>
                <w:sz w:val="20"/>
                <w:szCs w:val="20"/>
              </w:rPr>
            </w:pPr>
            <w:r>
              <w:rPr>
                <w:rFonts w:ascii="宋体" w:cs="宋体" w:hAnsi="宋体" w:hint="eastAsia"/>
                <w:b/>
                <w:bCs/>
                <w:color w:val="000000"/>
                <w:kern w:val="0"/>
                <w:sz w:val="20"/>
                <w:szCs w:val="20"/>
              </w:rPr>
              <w:t>二级指标</w:t>
            </w:r>
          </w:p>
        </w:tc>
        <w:tc>
          <w:tcPr>
            <w:tcW w:w="2240" w:type="dxa"/>
            <w:noWrap/>
            <w:vAlign w:val="center"/>
          </w:tcPr>
          <w:p>
            <w:pPr>
              <w:widowControl/>
              <w:suppressAutoHyphens w:val="0"/>
              <w:adjustRightInd w:val="0"/>
              <w:snapToGrid w:val="0"/>
              <w:jc w:val="center"/>
              <w:rPr>
                <w:rFonts w:ascii="宋体" w:cs="宋体"/>
                <w:b/>
                <w:bCs/>
                <w:color w:val="000000"/>
                <w:kern w:val="0"/>
                <w:sz w:val="20"/>
                <w:szCs w:val="20"/>
              </w:rPr>
            </w:pPr>
            <w:r>
              <w:rPr>
                <w:rFonts w:ascii="宋体" w:cs="宋体" w:hAnsi="宋体" w:hint="eastAsia"/>
                <w:b/>
                <w:bCs/>
                <w:color w:val="000000"/>
                <w:kern w:val="0"/>
                <w:sz w:val="20"/>
                <w:szCs w:val="20"/>
              </w:rPr>
              <w:t>三级指标</w:t>
            </w:r>
          </w:p>
        </w:tc>
        <w:tc>
          <w:tcPr>
            <w:tcW w:w="800" w:type="dxa"/>
            <w:noWrap/>
            <w:vAlign w:val="center"/>
          </w:tcPr>
          <w:p>
            <w:pPr>
              <w:widowControl/>
              <w:suppressAutoHyphens w:val="0"/>
              <w:adjustRightInd w:val="0"/>
              <w:snapToGrid w:val="0"/>
              <w:jc w:val="center"/>
              <w:rPr>
                <w:rFonts w:ascii="宋体" w:cs="宋体"/>
                <w:b/>
                <w:bCs/>
                <w:color w:val="000000"/>
                <w:kern w:val="0"/>
                <w:sz w:val="20"/>
                <w:szCs w:val="20"/>
              </w:rPr>
            </w:pPr>
            <w:r>
              <w:rPr>
                <w:rFonts w:ascii="宋体" w:cs="宋体" w:hAnsi="宋体" w:hint="eastAsia"/>
                <w:b/>
                <w:bCs/>
                <w:color w:val="000000"/>
                <w:kern w:val="0"/>
                <w:sz w:val="20"/>
                <w:szCs w:val="20"/>
              </w:rPr>
              <w:t>指标</w:t>
            </w:r>
          </w:p>
          <w:p>
            <w:pPr>
              <w:widowControl/>
              <w:suppressAutoHyphens w:val="0"/>
              <w:adjustRightInd w:val="0"/>
              <w:snapToGrid w:val="0"/>
              <w:jc w:val="center"/>
              <w:rPr>
                <w:rFonts w:ascii="宋体" w:cs="宋体"/>
                <w:b/>
                <w:bCs/>
                <w:color w:val="000000"/>
                <w:kern w:val="0"/>
                <w:sz w:val="20"/>
                <w:szCs w:val="20"/>
              </w:rPr>
            </w:pPr>
            <w:r>
              <w:rPr>
                <w:rFonts w:ascii="宋体" w:cs="宋体" w:hAnsi="宋体" w:hint="eastAsia"/>
                <w:b/>
                <w:bCs/>
                <w:color w:val="000000"/>
                <w:kern w:val="0"/>
                <w:sz w:val="20"/>
                <w:szCs w:val="20"/>
              </w:rPr>
              <w:t>性质</w:t>
            </w:r>
          </w:p>
        </w:tc>
        <w:tc>
          <w:tcPr>
            <w:tcW w:w="620" w:type="dxa"/>
            <w:noWrap/>
            <w:vAlign w:val="center"/>
          </w:tcPr>
          <w:p>
            <w:pPr>
              <w:widowControl/>
              <w:suppressAutoHyphens w:val="0"/>
              <w:adjustRightInd w:val="0"/>
              <w:snapToGrid w:val="0"/>
              <w:jc w:val="center"/>
              <w:rPr>
                <w:rFonts w:ascii="宋体" w:cs="宋体"/>
                <w:b/>
                <w:bCs/>
                <w:color w:val="000000"/>
                <w:kern w:val="0"/>
                <w:sz w:val="20"/>
                <w:szCs w:val="20"/>
              </w:rPr>
            </w:pPr>
            <w:r>
              <w:rPr>
                <w:rFonts w:ascii="宋体" w:cs="宋体" w:hAnsi="宋体" w:hint="eastAsia"/>
                <w:b/>
                <w:bCs/>
                <w:color w:val="000000"/>
                <w:kern w:val="0"/>
                <w:sz w:val="20"/>
                <w:szCs w:val="20"/>
              </w:rPr>
              <w:t>指标值</w:t>
            </w:r>
          </w:p>
        </w:tc>
        <w:tc>
          <w:tcPr>
            <w:tcW w:w="940" w:type="dxa"/>
            <w:noWrap/>
            <w:vAlign w:val="center"/>
          </w:tcPr>
          <w:p>
            <w:pPr>
              <w:widowControl/>
              <w:suppressAutoHyphens w:val="0"/>
              <w:adjustRightInd w:val="0"/>
              <w:snapToGrid w:val="0"/>
              <w:jc w:val="center"/>
              <w:rPr>
                <w:rFonts w:ascii="宋体" w:cs="宋体"/>
                <w:b/>
                <w:bCs/>
                <w:color w:val="000000"/>
                <w:kern w:val="0"/>
                <w:sz w:val="20"/>
                <w:szCs w:val="20"/>
              </w:rPr>
            </w:pPr>
            <w:r>
              <w:rPr>
                <w:rFonts w:ascii="宋体" w:cs="宋体" w:hAnsi="宋体" w:hint="eastAsia"/>
                <w:b/>
                <w:bCs/>
                <w:color w:val="000000"/>
                <w:kern w:val="0"/>
                <w:sz w:val="20"/>
                <w:szCs w:val="20"/>
              </w:rPr>
              <w:t>度量单位</w:t>
            </w:r>
          </w:p>
        </w:tc>
        <w:tc>
          <w:tcPr>
            <w:tcW w:w="940" w:type="dxa"/>
            <w:noWrap/>
            <w:vAlign w:val="center"/>
          </w:tcPr>
          <w:p>
            <w:pPr>
              <w:widowControl/>
              <w:suppressAutoHyphens w:val="0"/>
              <w:adjustRightInd w:val="0"/>
              <w:snapToGrid w:val="0"/>
              <w:jc w:val="center"/>
              <w:rPr>
                <w:rFonts w:ascii="宋体" w:cs="宋体"/>
                <w:b/>
                <w:bCs/>
                <w:color w:val="000000"/>
                <w:kern w:val="0"/>
                <w:sz w:val="20"/>
                <w:szCs w:val="20"/>
              </w:rPr>
            </w:pPr>
            <w:r>
              <w:rPr>
                <w:rFonts w:ascii="宋体" w:cs="宋体" w:hAnsi="宋体" w:hint="eastAsia"/>
                <w:b/>
                <w:bCs/>
                <w:color w:val="000000"/>
                <w:kern w:val="0"/>
                <w:sz w:val="20"/>
                <w:szCs w:val="20"/>
              </w:rPr>
              <w:t>权重（</w:t>
            </w:r>
            <w:r>
              <w:rPr>
                <w:rFonts w:ascii="宋体" w:cs="宋体" w:hAnsi="宋体"/>
                <w:b/>
                <w:bCs/>
                <w:color w:val="000000"/>
                <w:kern w:val="0"/>
                <w:sz w:val="20"/>
                <w:szCs w:val="20"/>
              </w:rPr>
              <w:t>%</w:t>
            </w:r>
            <w:r>
              <w:rPr>
                <w:rFonts w:ascii="宋体" w:cs="宋体" w:hAnsi="宋体" w:hint="eastAsia"/>
                <w:b/>
                <w:bCs/>
                <w:color w:val="000000"/>
                <w:kern w:val="0"/>
                <w:sz w:val="20"/>
                <w:szCs w:val="20"/>
              </w:rPr>
              <w:t>）</w:t>
            </w:r>
          </w:p>
        </w:tc>
        <w:tc>
          <w:tcPr>
            <w:tcW w:w="1060" w:type="dxa"/>
            <w:noWrap/>
            <w:vAlign w:val="center"/>
          </w:tcPr>
          <w:p>
            <w:pPr>
              <w:widowControl/>
              <w:suppressAutoHyphens w:val="0"/>
              <w:adjustRightInd w:val="0"/>
              <w:snapToGrid w:val="0"/>
              <w:jc w:val="center"/>
              <w:rPr>
                <w:rFonts w:ascii="宋体" w:cs="宋体"/>
                <w:b/>
                <w:bCs/>
                <w:color w:val="000000"/>
                <w:kern w:val="0"/>
                <w:sz w:val="20"/>
                <w:szCs w:val="20"/>
              </w:rPr>
            </w:pPr>
            <w:r>
              <w:rPr>
                <w:rFonts w:ascii="宋体" w:cs="宋体" w:hAnsi="宋体" w:hint="eastAsia"/>
                <w:b/>
                <w:bCs/>
                <w:color w:val="000000"/>
                <w:kern w:val="0"/>
                <w:sz w:val="20"/>
                <w:szCs w:val="20"/>
              </w:rPr>
              <w:t>指标</w:t>
            </w:r>
          </w:p>
          <w:p>
            <w:pPr>
              <w:widowControl/>
              <w:suppressAutoHyphens w:val="0"/>
              <w:adjustRightInd w:val="0"/>
              <w:snapToGrid w:val="0"/>
              <w:jc w:val="center"/>
              <w:rPr>
                <w:rFonts w:ascii="宋体" w:cs="宋体"/>
                <w:b/>
                <w:bCs/>
                <w:color w:val="000000"/>
                <w:kern w:val="0"/>
                <w:sz w:val="20"/>
                <w:szCs w:val="20"/>
              </w:rPr>
            </w:pPr>
            <w:r>
              <w:rPr>
                <w:rFonts w:ascii="宋体" w:cs="宋体" w:hAnsi="宋体" w:hint="eastAsia"/>
                <w:b/>
                <w:bCs/>
                <w:color w:val="000000"/>
                <w:kern w:val="0"/>
                <w:sz w:val="20"/>
                <w:szCs w:val="20"/>
              </w:rPr>
              <w:t>方向性</w:t>
            </w:r>
          </w:p>
        </w:tc>
      </w:tr>
      <w:tr>
        <w:trPr>
          <w:trHeight w:val="312"/>
        </w:trPr>
        <w:tc>
          <w:tcPr>
            <w:tcW w:w="880" w:type="dxa"/>
            <w:vMerge w:val="restart"/>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广元市经济和信息化局</w:t>
            </w:r>
          </w:p>
        </w:tc>
        <w:tc>
          <w:tcPr>
            <w:tcW w:w="921"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乡村振兴经费</w:t>
            </w:r>
          </w:p>
        </w:tc>
        <w:tc>
          <w:tcPr>
            <w:tcW w:w="72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9.1</w:t>
            </w:r>
          </w:p>
        </w:tc>
        <w:tc>
          <w:tcPr>
            <w:tcW w:w="3047"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严格按照上级关于实现巩固脱贫攻坚成果同乡村振兴有效衔接的决策部署，切实落实驻村工作队员（第一书记）驻村开展帮扶的工作要求；持续落实防返贫动态监测帮扶工作机制，对全村</w:t>
            </w:r>
            <w:r>
              <w:rPr>
                <w:rFonts w:ascii="宋体" w:cs="宋体" w:hAnsi="宋体"/>
                <w:color w:val="000000"/>
                <w:kern w:val="0"/>
                <w:sz w:val="18"/>
                <w:szCs w:val="18"/>
              </w:rPr>
              <w:t>3</w:t>
            </w:r>
            <w:r>
              <w:rPr>
                <w:rFonts w:ascii="宋体" w:cs="宋体" w:hAnsi="宋体" w:hint="eastAsia"/>
                <w:color w:val="000000"/>
                <w:kern w:val="0"/>
                <w:sz w:val="18"/>
                <w:szCs w:val="18"/>
              </w:rPr>
              <w:t>户</w:t>
            </w:r>
            <w:r>
              <w:rPr>
                <w:rFonts w:ascii="宋体" w:cs="宋体" w:hAnsi="宋体"/>
                <w:color w:val="000000"/>
                <w:kern w:val="0"/>
                <w:sz w:val="18"/>
                <w:szCs w:val="18"/>
              </w:rPr>
              <w:t>9</w:t>
            </w:r>
            <w:r>
              <w:rPr>
                <w:rFonts w:ascii="宋体" w:cs="宋体" w:hAnsi="宋体" w:hint="eastAsia"/>
                <w:color w:val="000000"/>
                <w:kern w:val="0"/>
                <w:sz w:val="18"/>
                <w:szCs w:val="18"/>
              </w:rPr>
              <w:t>人监测对象实行动态管理，协调落实各类帮扶政策扶持力度；进一步跟踪管理脱贫人口（重大突发事故户）稳岗就业情况，确保有劳动力家庭至少有</w:t>
            </w:r>
            <w:r>
              <w:rPr>
                <w:rFonts w:ascii="宋体" w:cs="宋体" w:hAnsi="宋体"/>
                <w:color w:val="000000"/>
                <w:kern w:val="0"/>
                <w:sz w:val="18"/>
                <w:szCs w:val="18"/>
              </w:rPr>
              <w:t>1</w:t>
            </w:r>
            <w:r>
              <w:rPr>
                <w:rFonts w:ascii="宋体" w:cs="宋体" w:hAnsi="宋体" w:hint="eastAsia"/>
                <w:color w:val="000000"/>
                <w:kern w:val="0"/>
                <w:sz w:val="18"/>
                <w:szCs w:val="18"/>
              </w:rPr>
              <w:t>人稳定务工；进一步完善村基础设施建设，提高为民服务工作效率；积极向市、县相关职能部门争取项目及项目资金，探索发展村特色产业和壮大村集体经济收入；不断提高群众的获得感、幸福感和满意度。</w:t>
            </w:r>
          </w:p>
        </w:tc>
        <w:tc>
          <w:tcPr>
            <w:tcW w:w="1072"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产出指标</w:t>
            </w:r>
          </w:p>
        </w:tc>
        <w:tc>
          <w:tcPr>
            <w:tcW w:w="182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数量指标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指标</w:t>
            </w:r>
            <w:r>
              <w:rPr>
                <w:rFonts w:ascii="宋体" w:cs="宋体" w:hAnsi="宋体"/>
                <w:kern w:val="0"/>
                <w:sz w:val="18"/>
                <w:szCs w:val="18"/>
              </w:rPr>
              <w:t>1</w:t>
            </w:r>
            <w:r>
              <w:rPr>
                <w:rFonts w:ascii="宋体" w:cs="宋体" w:hAnsi="宋体" w:hint="eastAsia"/>
                <w:kern w:val="0"/>
                <w:sz w:val="18"/>
                <w:szCs w:val="18"/>
              </w:rPr>
              <w:t>：建立帮扶措施数量</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2</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条</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w:t>
            </w: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tcBorders>
              <w:top w:val="single" w:sz="4" w:space="0" w:color="auto"/>
              <w:left w:val="single" w:sz="4" w:space="0" w:color="auto"/>
              <w:right w:val="single" w:sz="4" w:space="0" w:color="auto"/>
            </w:tcBorders>
            <w:vAlign w:val="center"/>
          </w:tcP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指标</w:t>
            </w:r>
            <w:r>
              <w:rPr>
                <w:rFonts w:ascii="宋体" w:cs="宋体" w:hAnsi="宋体"/>
                <w:kern w:val="0"/>
                <w:sz w:val="18"/>
                <w:szCs w:val="18"/>
              </w:rPr>
              <w:t>2</w:t>
            </w:r>
            <w:r>
              <w:rPr>
                <w:rFonts w:ascii="宋体" w:cs="宋体" w:hAnsi="宋体" w:hint="eastAsia"/>
                <w:kern w:val="0"/>
                <w:sz w:val="18"/>
                <w:szCs w:val="18"/>
              </w:rPr>
              <w:t>：月驻村工作天数</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22</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天</w:t>
            </w:r>
            <w:r>
              <w:rPr>
                <w:rFonts w:ascii="宋体" w:cs="宋体" w:hAnsi="宋体"/>
                <w:color w:val="000000"/>
                <w:kern w:val="0"/>
                <w:sz w:val="18"/>
                <w:szCs w:val="18"/>
              </w:rPr>
              <w:t>/</w:t>
            </w:r>
            <w:r>
              <w:rPr>
                <w:rFonts w:ascii="宋体" w:cs="宋体" w:hAnsi="宋体" w:hint="eastAsia"/>
                <w:color w:val="000000"/>
                <w:kern w:val="0"/>
                <w:sz w:val="18"/>
                <w:szCs w:val="18"/>
              </w:rPr>
              <w:t>月</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5</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w:t>
            </w: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tcBorders>
              <w:top w:val="single" w:sz="4" w:space="0" w:color="auto"/>
              <w:left w:val="single" w:sz="4" w:space="0" w:color="auto"/>
              <w:right w:val="single" w:sz="4" w:space="0" w:color="auto"/>
            </w:tcBorders>
            <w:vAlign w:val="center"/>
          </w:tcP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指标</w:t>
            </w:r>
            <w:r>
              <w:rPr>
                <w:rFonts w:ascii="宋体" w:cs="宋体" w:hAnsi="宋体"/>
                <w:kern w:val="0"/>
                <w:sz w:val="18"/>
                <w:szCs w:val="18"/>
              </w:rPr>
              <w:t>3</w:t>
            </w:r>
            <w:r>
              <w:rPr>
                <w:rFonts w:ascii="宋体" w:cs="宋体" w:hAnsi="宋体" w:hint="eastAsia"/>
                <w:kern w:val="0"/>
                <w:sz w:val="18"/>
                <w:szCs w:val="18"/>
              </w:rPr>
              <w:t>：帮扶村个数</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2</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个</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5</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w:t>
            </w: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tcBorders>
              <w:top w:val="single" w:sz="4" w:space="0" w:color="auto"/>
              <w:left w:val="single" w:sz="4" w:space="0" w:color="auto"/>
              <w:right w:val="single" w:sz="4" w:space="0" w:color="auto"/>
            </w:tcBorders>
            <w:vAlign w:val="center"/>
          </w:tcP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指标</w:t>
            </w:r>
            <w:r>
              <w:rPr>
                <w:rFonts w:ascii="宋体" w:cs="宋体" w:hAnsi="宋体"/>
                <w:kern w:val="0"/>
                <w:sz w:val="18"/>
                <w:szCs w:val="18"/>
              </w:rPr>
              <w:t>4</w:t>
            </w:r>
            <w:r>
              <w:rPr>
                <w:rFonts w:ascii="宋体" w:cs="宋体" w:hAnsi="宋体" w:hint="eastAsia"/>
                <w:kern w:val="0"/>
                <w:sz w:val="18"/>
                <w:szCs w:val="18"/>
              </w:rPr>
              <w:t>：帮扶队员人数</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5</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人</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5</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w:t>
            </w: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质量指标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指标</w:t>
            </w:r>
            <w:r>
              <w:rPr>
                <w:rFonts w:ascii="宋体" w:cs="宋体" w:hAnsi="宋体"/>
                <w:kern w:val="0"/>
                <w:sz w:val="18"/>
                <w:szCs w:val="18"/>
              </w:rPr>
              <w:t>1</w:t>
            </w:r>
            <w:r>
              <w:rPr>
                <w:rFonts w:ascii="宋体" w:cs="宋体" w:hAnsi="宋体" w:hint="eastAsia"/>
                <w:kern w:val="0"/>
                <w:sz w:val="18"/>
                <w:szCs w:val="18"/>
              </w:rPr>
              <w:t>：监测对象覆盖率</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5</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w:t>
            </w: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tcBorders>
              <w:top w:val="single" w:sz="4" w:space="0" w:color="auto"/>
              <w:left w:val="single" w:sz="4" w:space="0" w:color="auto"/>
              <w:right w:val="single" w:sz="4" w:space="0" w:color="auto"/>
            </w:tcBorders>
            <w:vAlign w:val="center"/>
          </w:tcP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指标</w:t>
            </w:r>
            <w:r>
              <w:rPr>
                <w:rFonts w:ascii="宋体" w:cs="宋体" w:hAnsi="宋体"/>
                <w:kern w:val="0"/>
                <w:sz w:val="18"/>
                <w:szCs w:val="18"/>
              </w:rPr>
              <w:t>2</w:t>
            </w:r>
            <w:r>
              <w:rPr>
                <w:rFonts w:ascii="宋体" w:cs="宋体" w:hAnsi="宋体" w:hint="eastAsia"/>
                <w:kern w:val="0"/>
                <w:sz w:val="18"/>
                <w:szCs w:val="18"/>
              </w:rPr>
              <w:t>：稳定就业率</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5</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w:t>
            </w: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时效指标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指标</w:t>
            </w:r>
            <w:r>
              <w:rPr>
                <w:rFonts w:ascii="宋体" w:cs="宋体" w:hAnsi="宋体"/>
                <w:kern w:val="0"/>
                <w:sz w:val="18"/>
                <w:szCs w:val="18"/>
              </w:rPr>
              <w:t>1</w:t>
            </w:r>
            <w:r>
              <w:rPr>
                <w:rFonts w:ascii="宋体" w:cs="宋体" w:hAnsi="宋体" w:hint="eastAsia"/>
                <w:kern w:val="0"/>
                <w:sz w:val="18"/>
                <w:szCs w:val="18"/>
              </w:rPr>
              <w:t>：自然年度内完成</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12</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月</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5</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w:t>
            </w: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成本指标</w:t>
            </w:r>
          </w:p>
        </w:tc>
        <w:tc>
          <w:tcPr>
            <w:tcW w:w="182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经济成本指标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指标</w:t>
            </w:r>
            <w:r>
              <w:rPr>
                <w:rFonts w:ascii="宋体" w:cs="宋体" w:hAnsi="宋体"/>
                <w:color w:val="000000"/>
                <w:kern w:val="0"/>
                <w:sz w:val="18"/>
                <w:szCs w:val="18"/>
              </w:rPr>
              <w:t>1</w:t>
            </w:r>
            <w:r>
              <w:rPr>
                <w:rFonts w:ascii="宋体" w:cs="宋体" w:hAnsi="宋体" w:hint="eastAsia"/>
                <w:color w:val="000000"/>
                <w:kern w:val="0"/>
                <w:sz w:val="18"/>
                <w:szCs w:val="18"/>
              </w:rPr>
              <w:t>：帮扶队员生活补助</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1.32</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万元</w:t>
            </w:r>
            <w:r>
              <w:rPr>
                <w:rFonts w:ascii="宋体" w:cs="宋体" w:hAnsi="宋体"/>
                <w:color w:val="000000"/>
                <w:kern w:val="0"/>
                <w:sz w:val="18"/>
                <w:szCs w:val="18"/>
              </w:rPr>
              <w:t>/</w:t>
            </w:r>
            <w:r>
              <w:rPr>
                <w:rFonts w:ascii="宋体" w:cs="宋体" w:hAnsi="宋体" w:hint="eastAsia"/>
                <w:color w:val="000000"/>
                <w:kern w:val="0"/>
                <w:sz w:val="18"/>
                <w:szCs w:val="18"/>
              </w:rPr>
              <w:t>人</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w:t>
            </w: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tcBorders>
              <w:top w:val="single" w:sz="4" w:space="0" w:color="auto"/>
              <w:left w:val="single" w:sz="4" w:space="0" w:color="auto"/>
              <w:right w:val="single" w:sz="4" w:space="0" w:color="auto"/>
            </w:tcBorders>
            <w:vAlign w:val="center"/>
          </w:tcP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指标</w:t>
            </w:r>
            <w:r>
              <w:rPr>
                <w:rFonts w:ascii="宋体" w:cs="宋体" w:hAnsi="宋体"/>
                <w:color w:val="000000"/>
                <w:kern w:val="0"/>
                <w:sz w:val="18"/>
                <w:szCs w:val="18"/>
              </w:rPr>
              <w:t>2</w:t>
            </w:r>
            <w:r>
              <w:rPr>
                <w:rFonts w:ascii="宋体" w:cs="宋体" w:hAnsi="宋体" w:hint="eastAsia"/>
                <w:color w:val="000000"/>
                <w:kern w:val="0"/>
                <w:sz w:val="18"/>
                <w:szCs w:val="18"/>
              </w:rPr>
              <w:t>：帮扶部门工作经费</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0.5</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万元</w:t>
            </w:r>
            <w:r>
              <w:rPr>
                <w:rFonts w:ascii="宋体" w:cs="宋体" w:hAnsi="宋体"/>
                <w:color w:val="000000"/>
                <w:kern w:val="0"/>
                <w:sz w:val="18"/>
                <w:szCs w:val="18"/>
              </w:rPr>
              <w:t>/</w:t>
            </w:r>
            <w:r>
              <w:rPr>
                <w:rFonts w:ascii="宋体" w:cs="宋体" w:hAnsi="宋体" w:hint="eastAsia"/>
                <w:color w:val="000000"/>
                <w:kern w:val="0"/>
                <w:sz w:val="18"/>
                <w:szCs w:val="18"/>
              </w:rPr>
              <w:t>人</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w:t>
            </w: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效益指标</w:t>
            </w: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经济效益</w:t>
            </w:r>
            <w:r>
              <w:rPr>
                <w:rFonts w:ascii="宋体" w:cs="宋体"/>
                <w:color w:val="000000"/>
                <w:kern w:val="0"/>
                <w:sz w:val="18"/>
                <w:szCs w:val="18"/>
              </w:rPr>
              <w:br/>
            </w:r>
            <w:r>
              <w:rPr>
                <w:rFonts w:ascii="宋体" w:cs="宋体" w:hAnsi="宋体" w:hint="eastAsia"/>
                <w:color w:val="000000"/>
                <w:kern w:val="0"/>
                <w:sz w:val="18"/>
                <w:szCs w:val="18"/>
              </w:rPr>
              <w:t>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指标</w:t>
            </w:r>
            <w:r>
              <w:rPr>
                <w:rFonts w:ascii="宋体" w:cs="宋体" w:hAnsi="宋体"/>
                <w:color w:val="000000"/>
                <w:kern w:val="0"/>
                <w:sz w:val="18"/>
                <w:szCs w:val="18"/>
              </w:rPr>
              <w:t>1</w:t>
            </w:r>
            <w:r>
              <w:rPr>
                <w:rFonts w:ascii="宋体" w:cs="宋体" w:hAnsi="宋体" w:hint="eastAsia"/>
                <w:color w:val="000000"/>
                <w:kern w:val="0"/>
                <w:sz w:val="18"/>
                <w:szCs w:val="18"/>
              </w:rPr>
              <w:t>：确保脱贫户人均收入实现增长</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20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w:t>
            </w: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满意度</w:t>
            </w:r>
            <w:r>
              <w:rPr>
                <w:rFonts w:ascii="宋体" w:cs="宋体"/>
                <w:color w:val="000000"/>
                <w:kern w:val="0"/>
                <w:sz w:val="18"/>
                <w:szCs w:val="18"/>
              </w:rPr>
              <w:br/>
            </w:r>
            <w:r>
              <w:rPr>
                <w:rFonts w:ascii="宋体" w:cs="宋体" w:hAnsi="宋体" w:hint="eastAsia"/>
                <w:color w:val="000000"/>
                <w:kern w:val="0"/>
                <w:sz w:val="18"/>
                <w:szCs w:val="18"/>
              </w:rPr>
              <w:t>指标</w:t>
            </w: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满意度指标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指标</w:t>
            </w:r>
            <w:r>
              <w:rPr>
                <w:rFonts w:ascii="宋体" w:cs="宋体" w:hAnsi="宋体"/>
                <w:color w:val="000000"/>
                <w:kern w:val="0"/>
                <w:sz w:val="18"/>
                <w:szCs w:val="18"/>
              </w:rPr>
              <w:t>1</w:t>
            </w:r>
            <w:r>
              <w:rPr>
                <w:rFonts w:ascii="宋体" w:cs="宋体" w:hAnsi="宋体" w:hint="eastAsia"/>
                <w:color w:val="000000"/>
                <w:kern w:val="0"/>
                <w:sz w:val="18"/>
                <w:szCs w:val="18"/>
              </w:rPr>
              <w:t>：帮扶村对帮扶成效的抽查满意度</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90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w:t>
            </w:r>
            <w:r>
              <w:rPr>
                <w:rFonts w:ascii="宋体" w:cs="宋体" w:hAnsi="宋体" w:hint="eastAsia"/>
                <w:color w:val="000000"/>
                <w:kern w:val="0"/>
                <w:sz w:val="18"/>
                <w:szCs w:val="18"/>
              </w:rPr>
              <w:t>正向指标</w:t>
            </w:r>
          </w:p>
        </w:tc>
      </w:tr>
      <w:tr>
        <w:trPr>
          <w:trHeight w:val="312"/>
        </w:trPr>
        <w:tc>
          <w:tcPr>
            <w:tcW w:w="880" w:type="dxa"/>
            <w:vMerge w:val="restart"/>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广元市经济和信息化局</w:t>
            </w:r>
          </w:p>
        </w:tc>
        <w:tc>
          <w:tcPr>
            <w:tcW w:w="921"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派驻纪检组经费</w:t>
            </w:r>
          </w:p>
        </w:tc>
        <w:tc>
          <w:tcPr>
            <w:tcW w:w="72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17.00</w:t>
            </w:r>
          </w:p>
        </w:tc>
        <w:tc>
          <w:tcPr>
            <w:tcW w:w="3047"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按照市纪委、监委关于加强派驻监督的有关意见，充分发挥派驻纪检监察组派的权威和驻的优势，进一步围绕“监督保障执行、促进完善发展”的总体要求，以监督派驻单位中心工作为重点，开展监督执纪，促进行业系统政风行风持续优化，政治生态持续向好。</w:t>
            </w:r>
            <w:r>
              <w:rPr>
                <w:rFonts w:ascii="宋体" w:cs="宋体" w:hAnsi="宋体"/>
                <w:color w:val="000000"/>
                <w:kern w:val="0"/>
                <w:sz w:val="18"/>
                <w:szCs w:val="18"/>
              </w:rPr>
              <w:t xml:space="preserve"> </w:t>
            </w:r>
          </w:p>
        </w:tc>
        <w:tc>
          <w:tcPr>
            <w:tcW w:w="1072"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产出指标</w:t>
            </w: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数量指标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开展廉洁警示教育人次</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300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人次</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w:t>
            </w:r>
          </w:p>
        </w:tc>
        <w:tc>
          <w:tcPr>
            <w:tcW w:w="1060" w:type="dxa"/>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数量指标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开展监督次数</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30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次</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w:t>
            </w:r>
          </w:p>
        </w:tc>
        <w:tc>
          <w:tcPr>
            <w:tcW w:w="1060" w:type="dxa"/>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数量指标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查办案件数量</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6</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件</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w:t>
            </w:r>
          </w:p>
        </w:tc>
        <w:tc>
          <w:tcPr>
            <w:tcW w:w="1060" w:type="dxa"/>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质量指标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办理案件质量合格率</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件</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5</w:t>
            </w:r>
          </w:p>
        </w:tc>
        <w:tc>
          <w:tcPr>
            <w:tcW w:w="1060" w:type="dxa"/>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时效指标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自然年度内完成</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12</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月</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5</w:t>
            </w:r>
          </w:p>
        </w:tc>
        <w:tc>
          <w:tcPr>
            <w:tcW w:w="1060" w:type="dxa"/>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成本指标</w:t>
            </w: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经济成本指标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总成本控制</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万元</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20</w:t>
            </w:r>
          </w:p>
        </w:tc>
        <w:tc>
          <w:tcPr>
            <w:tcW w:w="1060" w:type="dxa"/>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效益指标</w:t>
            </w: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社会效益指标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行风政风持续向好，人民群众信访举报下降数量</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2</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件</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20</w:t>
            </w:r>
          </w:p>
        </w:tc>
        <w:tc>
          <w:tcPr>
            <w:tcW w:w="1060" w:type="dxa"/>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312"/>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满意度指标</w:t>
            </w: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服务对象满意度指标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信访举报对象对案件处理的满意度</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90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w:t>
            </w:r>
          </w:p>
        </w:tc>
        <w:tc>
          <w:tcPr>
            <w:tcW w:w="1060" w:type="dxa"/>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567"/>
        </w:trPr>
        <w:tc>
          <w:tcPr>
            <w:tcW w:w="880" w:type="dxa"/>
            <w:vMerge w:val="restart"/>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广元市经济和信息化局</w:t>
            </w:r>
          </w:p>
        </w:tc>
        <w:tc>
          <w:tcPr>
            <w:tcW w:w="921"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争取资金工作经费</w:t>
            </w:r>
          </w:p>
        </w:tc>
        <w:tc>
          <w:tcPr>
            <w:tcW w:w="72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20.00</w:t>
            </w:r>
          </w:p>
        </w:tc>
        <w:tc>
          <w:tcPr>
            <w:tcW w:w="3047"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按照市委、市政府有关“项目大比武”工作的安排部署，紧紧围绕“</w:t>
            </w:r>
            <w:r>
              <w:rPr>
                <w:rFonts w:ascii="宋体" w:cs="宋体" w:hAnsi="宋体"/>
                <w:color w:val="000000"/>
                <w:kern w:val="0"/>
                <w:sz w:val="18"/>
                <w:szCs w:val="18"/>
              </w:rPr>
              <w:t>1+3+3</w:t>
            </w:r>
            <w:r>
              <w:rPr>
                <w:rFonts w:ascii="宋体" w:cs="宋体" w:hAnsi="宋体" w:hint="eastAsia"/>
                <w:color w:val="000000"/>
                <w:kern w:val="0"/>
                <w:sz w:val="18"/>
                <w:szCs w:val="18"/>
              </w:rPr>
              <w:t>”工业优势主导产业，谋划一批铝基新材料、能源化工、食品饮料、硅基新材料等引领性强、支撑性大的产业化项目，积极向上推荐设备更新、产业园区、产业创新平台建设、智改数转、转企升规等项目，大力争取中、省财政资金扶持，切实推动广元工业高质量发展。</w:t>
            </w:r>
          </w:p>
        </w:tc>
        <w:tc>
          <w:tcPr>
            <w:tcW w:w="1072"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产出指标</w:t>
            </w: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数量指标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指标</w:t>
            </w:r>
            <w:r>
              <w:rPr>
                <w:rFonts w:ascii="宋体" w:cs="宋体" w:hAnsi="宋体"/>
                <w:color w:val="000000"/>
                <w:kern w:val="0"/>
                <w:sz w:val="18"/>
                <w:szCs w:val="18"/>
              </w:rPr>
              <w:t>1</w:t>
            </w:r>
            <w:r>
              <w:rPr>
                <w:rFonts w:ascii="宋体" w:cs="宋体" w:hAnsi="宋体" w:hint="eastAsia"/>
                <w:color w:val="000000"/>
                <w:kern w:val="0"/>
                <w:sz w:val="18"/>
                <w:szCs w:val="18"/>
              </w:rPr>
              <w:t>：推荐设备更新、智改数转等项目个数</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20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个</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w:t>
            </w:r>
          </w:p>
        </w:tc>
        <w:tc>
          <w:tcPr>
            <w:tcW w:w="1060" w:type="dxa"/>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正向指标</w:t>
            </w:r>
          </w:p>
        </w:tc>
      </w:tr>
      <w:tr>
        <w:trPr>
          <w:trHeight w:val="567"/>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数量指标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指标</w:t>
            </w:r>
            <w:r>
              <w:rPr>
                <w:rFonts w:ascii="宋体" w:cs="宋体" w:hAnsi="宋体"/>
                <w:color w:val="000000"/>
                <w:kern w:val="0"/>
                <w:sz w:val="18"/>
                <w:szCs w:val="18"/>
              </w:rPr>
              <w:t>2</w:t>
            </w:r>
            <w:r>
              <w:rPr>
                <w:rFonts w:ascii="宋体" w:cs="宋体" w:hAnsi="宋体" w:hint="eastAsia"/>
                <w:color w:val="000000"/>
                <w:kern w:val="0"/>
                <w:sz w:val="18"/>
                <w:szCs w:val="18"/>
              </w:rPr>
              <w:t>：争取资金支持数额</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4000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万元</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w:t>
            </w:r>
          </w:p>
        </w:tc>
        <w:tc>
          <w:tcPr>
            <w:tcW w:w="1060" w:type="dxa"/>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正向指标</w:t>
            </w:r>
          </w:p>
        </w:tc>
      </w:tr>
      <w:tr>
        <w:trPr>
          <w:trHeight w:val="567"/>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时效指标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按规定时间完成</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12</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月</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w:t>
            </w:r>
          </w:p>
        </w:tc>
        <w:tc>
          <w:tcPr>
            <w:tcW w:w="1060" w:type="dxa"/>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正向指标</w:t>
            </w:r>
          </w:p>
        </w:tc>
      </w:tr>
      <w:tr>
        <w:trPr>
          <w:trHeight w:val="567"/>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质量指标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财政资金支持项目竣工验收合格率</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90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w:t>
            </w:r>
          </w:p>
        </w:tc>
        <w:tc>
          <w:tcPr>
            <w:tcW w:w="1060" w:type="dxa"/>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正向指标</w:t>
            </w:r>
          </w:p>
        </w:tc>
      </w:tr>
      <w:tr>
        <w:trPr>
          <w:trHeight w:val="567"/>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成本指标</w:t>
            </w: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经济成本指标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总成本控制</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20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万元</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20</w:t>
            </w:r>
          </w:p>
        </w:tc>
        <w:tc>
          <w:tcPr>
            <w:tcW w:w="1060" w:type="dxa"/>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正向指标</w:t>
            </w:r>
          </w:p>
        </w:tc>
      </w:tr>
      <w:tr>
        <w:trPr>
          <w:trHeight w:val="567"/>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效益指标</w:t>
            </w: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社会效益指标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带动就业人数</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50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人</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20</w:t>
            </w:r>
          </w:p>
        </w:tc>
        <w:tc>
          <w:tcPr>
            <w:tcW w:w="1060" w:type="dxa"/>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567"/>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满意度指标</w:t>
            </w: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满意度指标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服务对象满意度</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95</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w:t>
            </w:r>
          </w:p>
        </w:tc>
        <w:tc>
          <w:tcPr>
            <w:tcW w:w="1060" w:type="dxa"/>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567"/>
        </w:trPr>
        <w:tc>
          <w:tcPr>
            <w:tcW w:w="880" w:type="dxa"/>
            <w:vMerge w:val="restart"/>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广元市经济和信息化局</w:t>
            </w:r>
          </w:p>
        </w:tc>
        <w:tc>
          <w:tcPr>
            <w:tcW w:w="921"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办公用房租赁费</w:t>
            </w:r>
          </w:p>
        </w:tc>
        <w:tc>
          <w:tcPr>
            <w:tcW w:w="72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40.35</w:t>
            </w:r>
          </w:p>
        </w:tc>
        <w:tc>
          <w:tcPr>
            <w:tcW w:w="3047"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通过租赁办公楼的方式，以满足干部职工基本办公用房。</w:t>
            </w:r>
          </w:p>
        </w:tc>
        <w:tc>
          <w:tcPr>
            <w:tcW w:w="1072"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产出指标</w:t>
            </w:r>
          </w:p>
        </w:tc>
        <w:tc>
          <w:tcPr>
            <w:tcW w:w="1820" w:type="dxa"/>
            <w:vMerge w:val="restart"/>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数量指标</w:t>
            </w:r>
          </w:p>
        </w:tc>
        <w:tc>
          <w:tcPr>
            <w:tcW w:w="224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租赁面积</w:t>
            </w:r>
          </w:p>
        </w:tc>
        <w:tc>
          <w:tcPr>
            <w:tcW w:w="800" w:type="dxa"/>
            <w:vMerge w:val="restart"/>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2102</w:t>
            </w:r>
          </w:p>
        </w:tc>
        <w:tc>
          <w:tcPr>
            <w:tcW w:w="94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平方米</w:t>
            </w:r>
          </w:p>
        </w:tc>
        <w:tc>
          <w:tcPr>
            <w:tcW w:w="94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20</w:t>
            </w:r>
          </w:p>
        </w:tc>
        <w:tc>
          <w:tcPr>
            <w:tcW w:w="1060" w:type="dxa"/>
            <w:vMerge w:val="restart"/>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567"/>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tcBorders>
              <w:top w:val="single" w:sz="4" w:space="0" w:color="auto"/>
              <w:left w:val="single" w:sz="4" w:space="0" w:color="auto"/>
              <w:right w:val="single" w:sz="4" w:space="0" w:color="auto"/>
            </w:tcBorders>
            <w:vAlign w:val="center"/>
          </w:tcPr>
          <w:p/>
        </w:tc>
        <w:tc>
          <w:tcPr>
            <w:tcW w:w="2240" w:type="dxa"/>
            <w:vMerge/>
            <w:tcBorders>
              <w:top w:val="single" w:sz="4" w:space="0" w:color="auto"/>
              <w:left w:val="single" w:sz="4" w:space="0" w:color="auto"/>
              <w:right w:val="single" w:sz="4" w:space="0" w:color="auto"/>
            </w:tcBorders>
            <w:vAlign w:val="center"/>
          </w:tcPr>
          <w:p/>
        </w:tc>
        <w:tc>
          <w:tcPr>
            <w:tcW w:w="800" w:type="dxa"/>
            <w:vMerge/>
            <w:tcBorders>
              <w:top w:val="single" w:sz="4" w:space="0" w:color="auto"/>
              <w:left w:val="single" w:sz="4" w:space="0" w:color="auto"/>
              <w:right w:val="single" w:sz="4" w:space="0" w:color="auto"/>
            </w:tcBorders>
            <w:vAlign w:val="center"/>
          </w:tcPr>
          <w:p/>
        </w:tc>
        <w:tc>
          <w:tcPr>
            <w:tcW w:w="620" w:type="dxa"/>
            <w:vMerge/>
            <w:tcBorders>
              <w:top w:val="single" w:sz="4" w:space="0" w:color="auto"/>
              <w:left w:val="single" w:sz="4" w:space="0" w:color="auto"/>
              <w:right w:val="single" w:sz="4" w:space="0" w:color="auto"/>
            </w:tcBorders>
            <w:vAlign w:val="center"/>
          </w:tcPr>
          <w:p/>
        </w:tc>
        <w:tc>
          <w:tcPr>
            <w:tcW w:w="940" w:type="dxa"/>
            <w:vMerge/>
            <w:tcBorders>
              <w:top w:val="single" w:sz="4" w:space="0" w:color="auto"/>
              <w:left w:val="single" w:sz="4" w:space="0" w:color="auto"/>
              <w:right w:val="single" w:sz="4" w:space="0" w:color="auto"/>
            </w:tcBorders>
            <w:vAlign w:val="center"/>
          </w:tcPr>
          <w:p/>
        </w:tc>
        <w:tc>
          <w:tcPr>
            <w:tcW w:w="940" w:type="dxa"/>
            <w:vMerge/>
            <w:tcBorders>
              <w:top w:val="single" w:sz="4" w:space="0" w:color="auto"/>
              <w:left w:val="single" w:sz="4" w:space="0" w:color="auto"/>
              <w:right w:val="single" w:sz="4" w:space="0" w:color="auto"/>
            </w:tcBorders>
            <w:vAlign w:val="center"/>
          </w:tcPr>
          <w:p/>
        </w:tc>
        <w:tc>
          <w:tcPr>
            <w:tcW w:w="1060" w:type="dxa"/>
            <w:vMerge/>
            <w:vAlign w:val="center"/>
          </w:tcPr>
          <w:p/>
        </w:tc>
      </w:tr>
      <w:tr>
        <w:trPr>
          <w:trHeight w:val="567"/>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质量指标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房屋合格率</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567"/>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时效指标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房屋使用时间</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12</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月</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567"/>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成本指标</w:t>
            </w: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经济成本指标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总成本控制</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40.35</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万元</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567"/>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效益指标</w:t>
            </w: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社会效益指标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干部职工工作条件具备、工作效率提高</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定性</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优</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567"/>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满意度指标</w:t>
            </w: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满意度指标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干部职工满意度</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95</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restart"/>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广元市经济和信息化局</w:t>
            </w:r>
          </w:p>
        </w:tc>
        <w:tc>
          <w:tcPr>
            <w:tcW w:w="921"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重点产业专班工作经费</w:t>
            </w:r>
          </w:p>
        </w:tc>
        <w:tc>
          <w:tcPr>
            <w:tcW w:w="72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120.00</w:t>
            </w:r>
          </w:p>
        </w:tc>
        <w:tc>
          <w:tcPr>
            <w:tcW w:w="3047"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全面贯彻党的二十大和中央经济工作会议、省委十二届二次、三次全会和省委经济工作会议精神，认真落实市委八届六次全会决策部署和市委经济工作会议精神，大力实施“</w:t>
            </w:r>
            <w:r>
              <w:rPr>
                <w:rFonts w:ascii="宋体" w:cs="宋体" w:hAnsi="宋体"/>
                <w:color w:val="000000"/>
                <w:kern w:val="0"/>
                <w:sz w:val="18"/>
                <w:szCs w:val="18"/>
              </w:rPr>
              <w:t>1345</w:t>
            </w:r>
            <w:r>
              <w:rPr>
                <w:rFonts w:ascii="宋体" w:cs="宋体" w:hAnsi="宋体" w:hint="eastAsia"/>
                <w:color w:val="000000"/>
                <w:kern w:val="0"/>
                <w:sz w:val="18"/>
                <w:szCs w:val="18"/>
              </w:rPr>
              <w:t>”发展战略。按照“做总量、提质量、增效益、做贡献”的发展思路，大力开展产业集聚提速行动，构建“</w:t>
            </w:r>
            <w:r>
              <w:rPr>
                <w:rFonts w:ascii="宋体" w:cs="宋体" w:hAnsi="宋体"/>
                <w:color w:val="000000"/>
                <w:kern w:val="0"/>
                <w:sz w:val="18"/>
                <w:szCs w:val="18"/>
              </w:rPr>
              <w:t>1+3+3</w:t>
            </w:r>
            <w:r>
              <w:rPr>
                <w:rFonts w:ascii="宋体" w:cs="宋体" w:hAnsi="宋体" w:hint="eastAsia"/>
                <w:color w:val="000000"/>
                <w:kern w:val="0"/>
                <w:sz w:val="18"/>
                <w:szCs w:val="18"/>
              </w:rPr>
              <w:t>”工业优势主导产业体系，推动产业延链、补链、强链，推进优势主导产业发展壮大。</w:t>
            </w:r>
          </w:p>
        </w:tc>
        <w:tc>
          <w:tcPr>
            <w:tcW w:w="1072"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产出指标</w:t>
            </w:r>
          </w:p>
        </w:tc>
        <w:tc>
          <w:tcPr>
            <w:tcW w:w="1820" w:type="dxa"/>
            <w:vMerge w:val="restart"/>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数量指标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开展投资促进活动</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34</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次</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4</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tcBorders>
              <w:top w:val="single" w:sz="4" w:space="0" w:color="auto"/>
              <w:left w:val="single" w:sz="4" w:space="0" w:color="auto"/>
              <w:right w:val="single" w:sz="4" w:space="0" w:color="auto"/>
            </w:tcBorders>
            <w:vAlign w:val="center"/>
          </w:tcP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对接洽谈项目</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80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个</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4</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tcBorders>
              <w:top w:val="single" w:sz="4" w:space="0" w:color="auto"/>
              <w:left w:val="single" w:sz="4" w:space="0" w:color="auto"/>
              <w:right w:val="single" w:sz="4" w:space="0" w:color="auto"/>
            </w:tcBorders>
            <w:vAlign w:val="center"/>
          </w:tcP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签约项目</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60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个</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4</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tcBorders>
              <w:top w:val="single" w:sz="4" w:space="0" w:color="auto"/>
              <w:left w:val="single" w:sz="4" w:space="0" w:color="auto"/>
              <w:right w:val="single" w:sz="4" w:space="0" w:color="auto"/>
            </w:tcBorders>
            <w:vAlign w:val="center"/>
          </w:tcP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印制招商宣传册</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500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册</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4</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tcBorders>
              <w:top w:val="single" w:sz="4" w:space="0" w:color="auto"/>
              <w:left w:val="single" w:sz="4" w:space="0" w:color="auto"/>
              <w:right w:val="single" w:sz="4" w:space="0" w:color="auto"/>
            </w:tcBorders>
            <w:vAlign w:val="center"/>
          </w:tcP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与商协会及专业机构合作招商</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7</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个</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4</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tcBorders>
              <w:top w:val="single" w:sz="4" w:space="0" w:color="auto"/>
              <w:left w:val="single" w:sz="4" w:space="0" w:color="auto"/>
              <w:right w:val="single" w:sz="4" w:space="0" w:color="auto"/>
            </w:tcBorders>
            <w:vAlign w:val="center"/>
          </w:tcP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培育企业进规</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15</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20"/>
                <w:szCs w:val="20"/>
              </w:rPr>
            </w:pPr>
            <w:r>
              <w:rPr>
                <w:rFonts w:ascii="宋体" w:cs="宋体" w:hAnsi="宋体" w:hint="eastAsia"/>
                <w:color w:val="000000"/>
                <w:kern w:val="0"/>
                <w:sz w:val="20"/>
                <w:szCs w:val="20"/>
              </w:rPr>
              <w:t>个</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4</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tcBorders>
              <w:top w:val="single" w:sz="4" w:space="0" w:color="auto"/>
              <w:left w:val="single" w:sz="4" w:space="0" w:color="auto"/>
              <w:right w:val="single" w:sz="4" w:space="0" w:color="auto"/>
            </w:tcBorders>
            <w:vAlign w:val="center"/>
          </w:tcP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项目投产</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24</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20"/>
                <w:szCs w:val="20"/>
              </w:rPr>
            </w:pPr>
            <w:r>
              <w:rPr>
                <w:rFonts w:ascii="宋体" w:cs="宋体" w:hAnsi="宋体" w:hint="eastAsia"/>
                <w:color w:val="000000"/>
                <w:kern w:val="0"/>
                <w:sz w:val="20"/>
                <w:szCs w:val="20"/>
              </w:rPr>
              <w:t>个</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4</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tcBorders>
              <w:top w:val="single" w:sz="4" w:space="0" w:color="auto"/>
              <w:left w:val="single" w:sz="4" w:space="0" w:color="auto"/>
              <w:right w:val="single" w:sz="4" w:space="0" w:color="auto"/>
            </w:tcBorders>
            <w:vAlign w:val="center"/>
          </w:tcP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协调解决困难问题</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32</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20"/>
                <w:szCs w:val="20"/>
              </w:rPr>
            </w:pPr>
            <w:r>
              <w:rPr>
                <w:rFonts w:ascii="宋体" w:cs="宋体" w:hAnsi="宋体" w:hint="eastAsia"/>
                <w:color w:val="000000"/>
                <w:kern w:val="0"/>
                <w:sz w:val="20"/>
                <w:szCs w:val="20"/>
              </w:rPr>
              <w:t>个</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4</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val="restart"/>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质量指标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项目落地开工率</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30</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20"/>
                <w:szCs w:val="20"/>
              </w:rPr>
            </w:pPr>
            <w:r>
              <w:rPr>
                <w:rFonts w:ascii="宋体" w:cs="宋体" w:hAnsi="宋体"/>
                <w:color w:val="000000"/>
                <w:kern w:val="0"/>
                <w:sz w:val="20"/>
                <w:szCs w:val="20"/>
              </w:rPr>
              <w:t>%</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tcBorders>
              <w:top w:val="single" w:sz="4" w:space="0" w:color="auto"/>
              <w:left w:val="single" w:sz="4" w:space="0" w:color="auto"/>
              <w:right w:val="single" w:sz="4" w:space="0" w:color="auto"/>
            </w:tcBorders>
            <w:vAlign w:val="center"/>
          </w:tcP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实现产值</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451.5</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亿元</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时效指标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项目完成及时性</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12</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月</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4</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成本指标</w:t>
            </w: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经济成本指标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总成本控制</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120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万元</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效益指标</w:t>
            </w: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经济效益指标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促进我市经济增长，推动工业产业高质量发展</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定性</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优</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级</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5</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社会效益指标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提升工业产业知名度</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定性</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优</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级</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5</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生态效益指标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推动适应资源和环境的承载力，促进我市生态文明建设</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定性</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优</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级</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5</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可持续影响指标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通过招商引资推动绿色家居产业、铝基新材料、食品饮料、硅基新材料产业链条逐步完善</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定性</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优</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级</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5</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25"/>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满意度指标</w:t>
            </w: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满意度指标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招商引资客商满意度</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90</w:t>
            </w:r>
          </w:p>
        </w:tc>
        <w:tc>
          <w:tcPr>
            <w:tcW w:w="94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20"/>
                <w:szCs w:val="20"/>
              </w:rPr>
            </w:pPr>
            <w:r>
              <w:rPr>
                <w:rFonts w:ascii="宋体" w:cs="宋体" w:hAnsi="宋体"/>
                <w:color w:val="000000"/>
                <w:kern w:val="0"/>
                <w:sz w:val="20"/>
                <w:szCs w:val="20"/>
              </w:rPr>
              <w:t>%</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54"/>
        </w:trPr>
        <w:tc>
          <w:tcPr>
            <w:tcW w:w="880" w:type="dxa"/>
            <w:vMerge w:val="restart"/>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广元市经济和信息化局</w:t>
            </w:r>
          </w:p>
        </w:tc>
        <w:tc>
          <w:tcPr>
            <w:tcW w:w="921"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市属城镇集体企业改革维稳基金</w:t>
            </w:r>
          </w:p>
        </w:tc>
        <w:tc>
          <w:tcPr>
            <w:tcW w:w="72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48.08</w:t>
            </w:r>
          </w:p>
        </w:tc>
        <w:tc>
          <w:tcPr>
            <w:tcW w:w="3047"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按照“一企一策、先易后难、稳步推进”的工作思路，着力推进市属城镇集体企业改革维稳工作，有效破解企业职工难题，根本消除不稳定隐患。</w:t>
            </w:r>
          </w:p>
        </w:tc>
        <w:tc>
          <w:tcPr>
            <w:tcW w:w="1072"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产出指标</w:t>
            </w:r>
          </w:p>
        </w:tc>
        <w:tc>
          <w:tcPr>
            <w:tcW w:w="1820" w:type="dxa"/>
            <w:vMerge w:val="restart"/>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数量指标</w:t>
            </w:r>
          </w:p>
        </w:tc>
        <w:tc>
          <w:tcPr>
            <w:tcW w:w="224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每年解决职工问题</w:t>
            </w:r>
          </w:p>
        </w:tc>
        <w:tc>
          <w:tcPr>
            <w:tcW w:w="800" w:type="dxa"/>
            <w:vMerge w:val="restart"/>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5</w:t>
            </w:r>
          </w:p>
        </w:tc>
        <w:tc>
          <w:tcPr>
            <w:tcW w:w="94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件</w:t>
            </w:r>
          </w:p>
        </w:tc>
        <w:tc>
          <w:tcPr>
            <w:tcW w:w="94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20</w:t>
            </w:r>
          </w:p>
        </w:tc>
        <w:tc>
          <w:tcPr>
            <w:tcW w:w="1060" w:type="dxa"/>
            <w:vMerge w:val="restart"/>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54"/>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vMerge/>
            <w:tcBorders>
              <w:top w:val="single" w:sz="4" w:space="0" w:color="auto"/>
              <w:left w:val="single" w:sz="4" w:space="0" w:color="auto"/>
              <w:right w:val="single" w:sz="4" w:space="0" w:color="auto"/>
            </w:tcBorders>
            <w:vAlign w:val="center"/>
          </w:tcPr>
          <w:p/>
        </w:tc>
        <w:tc>
          <w:tcPr>
            <w:tcW w:w="2240" w:type="dxa"/>
            <w:vMerge/>
            <w:tcBorders>
              <w:top w:val="single" w:sz="4" w:space="0" w:color="auto"/>
              <w:left w:val="single" w:sz="4" w:space="0" w:color="auto"/>
              <w:right w:val="single" w:sz="4" w:space="0" w:color="auto"/>
            </w:tcBorders>
            <w:vAlign w:val="center"/>
          </w:tcPr>
          <w:p/>
        </w:tc>
        <w:tc>
          <w:tcPr>
            <w:tcW w:w="800" w:type="dxa"/>
            <w:vMerge/>
            <w:tcBorders>
              <w:top w:val="single" w:sz="4" w:space="0" w:color="auto"/>
              <w:left w:val="single" w:sz="4" w:space="0" w:color="auto"/>
              <w:right w:val="single" w:sz="4" w:space="0" w:color="auto"/>
            </w:tcBorders>
            <w:vAlign w:val="center"/>
          </w:tcPr>
          <w:p/>
        </w:tc>
        <w:tc>
          <w:tcPr>
            <w:tcW w:w="620" w:type="dxa"/>
            <w:vMerge/>
            <w:tcBorders>
              <w:top w:val="single" w:sz="4" w:space="0" w:color="auto"/>
              <w:left w:val="single" w:sz="4" w:space="0" w:color="auto"/>
              <w:right w:val="single" w:sz="4" w:space="0" w:color="auto"/>
            </w:tcBorders>
            <w:vAlign w:val="center"/>
          </w:tcPr>
          <w:p/>
        </w:tc>
        <w:tc>
          <w:tcPr>
            <w:tcW w:w="940" w:type="dxa"/>
            <w:vMerge/>
            <w:tcBorders>
              <w:top w:val="single" w:sz="4" w:space="0" w:color="auto"/>
              <w:left w:val="single" w:sz="4" w:space="0" w:color="auto"/>
              <w:right w:val="single" w:sz="4" w:space="0" w:color="auto"/>
            </w:tcBorders>
            <w:vAlign w:val="center"/>
          </w:tcPr>
          <w:p/>
        </w:tc>
        <w:tc>
          <w:tcPr>
            <w:tcW w:w="940" w:type="dxa"/>
            <w:vMerge/>
            <w:tcBorders>
              <w:top w:val="single" w:sz="4" w:space="0" w:color="auto"/>
              <w:left w:val="single" w:sz="4" w:space="0" w:color="auto"/>
              <w:right w:val="single" w:sz="4" w:space="0" w:color="auto"/>
            </w:tcBorders>
            <w:vAlign w:val="center"/>
          </w:tcPr>
          <w:p/>
        </w:tc>
        <w:tc>
          <w:tcPr>
            <w:tcW w:w="1060" w:type="dxa"/>
            <w:vMerge/>
            <w:vAlign w:val="center"/>
          </w:tcPr>
          <w:p/>
        </w:tc>
      </w:tr>
      <w:tr>
        <w:trPr>
          <w:trHeight w:val="454"/>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质量指标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职工能按时退休</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定性</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优</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级</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54"/>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时效指标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完成工作任务时间</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12</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月</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54"/>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成本指标</w:t>
            </w: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经济成本指标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总成本控制</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48.08</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万元</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54"/>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效益指标</w:t>
            </w: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社会效益指标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上访频次减少</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次</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54"/>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满意度指标</w:t>
            </w: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满意度指标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企业职工满意度</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95</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w:t>
            </w:r>
          </w:p>
        </w:tc>
        <w:tc>
          <w:tcPr>
            <w:tcW w:w="1060" w:type="dxa"/>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54"/>
        </w:trPr>
        <w:tc>
          <w:tcPr>
            <w:tcW w:w="880" w:type="dxa"/>
            <w:vMerge w:val="restart"/>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广元市经济和信息化局</w:t>
            </w:r>
          </w:p>
        </w:tc>
        <w:tc>
          <w:tcPr>
            <w:tcW w:w="921"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国家专项节能监察工作经费</w:t>
            </w:r>
          </w:p>
        </w:tc>
        <w:tc>
          <w:tcPr>
            <w:tcW w:w="720"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9.03</w:t>
            </w:r>
          </w:p>
        </w:tc>
        <w:tc>
          <w:tcPr>
            <w:tcW w:w="3047"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对重点行业企业能效进行专项监察达</w:t>
            </w:r>
            <w:r>
              <w:rPr>
                <w:rFonts w:ascii="宋体" w:cs="宋体" w:hAnsi="宋体"/>
                <w:color w:val="000000"/>
                <w:kern w:val="0"/>
                <w:sz w:val="18"/>
                <w:szCs w:val="18"/>
              </w:rPr>
              <w:t>20</w:t>
            </w:r>
            <w:r>
              <w:rPr>
                <w:rFonts w:ascii="宋体" w:cs="宋体" w:hAnsi="宋体" w:hint="eastAsia"/>
                <w:color w:val="000000"/>
                <w:kern w:val="0"/>
                <w:sz w:val="18"/>
                <w:szCs w:val="18"/>
              </w:rPr>
              <w:t>户以上，对违规企业整改落实情况专项监察达</w:t>
            </w:r>
            <w:r>
              <w:rPr>
                <w:rFonts w:ascii="宋体" w:cs="宋体" w:hAnsi="宋体"/>
                <w:color w:val="000000"/>
                <w:kern w:val="0"/>
                <w:sz w:val="18"/>
                <w:szCs w:val="18"/>
              </w:rPr>
              <w:t>10</w:t>
            </w:r>
            <w:r>
              <w:rPr>
                <w:rFonts w:ascii="宋体" w:cs="宋体" w:hAnsi="宋体" w:hint="eastAsia"/>
                <w:color w:val="000000"/>
                <w:kern w:val="0"/>
                <w:sz w:val="18"/>
                <w:szCs w:val="18"/>
              </w:rPr>
              <w:t>户以上。</w:t>
            </w:r>
          </w:p>
        </w:tc>
        <w:tc>
          <w:tcPr>
            <w:tcW w:w="1072" w:type="dxa"/>
            <w:vMerge w:val="restart"/>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产出指标</w:t>
            </w: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数量指标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对违规企业整改落实情况进行专项监察</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户</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w:t>
            </w:r>
          </w:p>
        </w:tc>
        <w:tc>
          <w:tcPr>
            <w:tcW w:w="1060" w:type="dxa"/>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正向指标</w:t>
            </w:r>
          </w:p>
        </w:tc>
      </w:tr>
      <w:tr>
        <w:trPr>
          <w:trHeight w:val="454"/>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数量指标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对重点行业企业能效进行专项监察</w:t>
            </w:r>
          </w:p>
        </w:tc>
        <w:tc>
          <w:tcPr>
            <w:tcW w:w="80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20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户</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w:t>
            </w:r>
          </w:p>
        </w:tc>
        <w:tc>
          <w:tcPr>
            <w:tcW w:w="1060" w:type="dxa"/>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正向指标</w:t>
            </w:r>
          </w:p>
        </w:tc>
      </w:tr>
      <w:tr>
        <w:trPr>
          <w:trHeight w:val="454"/>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时效指标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完成任务时间</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年</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w:t>
            </w:r>
          </w:p>
        </w:tc>
        <w:tc>
          <w:tcPr>
            <w:tcW w:w="1060" w:type="dxa"/>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正向指标</w:t>
            </w:r>
          </w:p>
        </w:tc>
      </w:tr>
      <w:tr>
        <w:trPr>
          <w:trHeight w:val="454"/>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vMerge/>
            <w:tcBorders>
              <w:top w:val="single" w:sz="4" w:space="0" w:color="auto"/>
              <w:left w:val="single" w:sz="4" w:space="0" w:color="auto"/>
              <w:right w:val="single" w:sz="4" w:space="0" w:color="auto"/>
            </w:tcBorders>
            <w:vAlign w:val="center"/>
          </w:tcP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质量指标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按照国家工业专项节能监察手册开展</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100</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10</w:t>
            </w:r>
          </w:p>
        </w:tc>
        <w:tc>
          <w:tcPr>
            <w:tcW w:w="1060" w:type="dxa"/>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正向指标</w:t>
            </w:r>
          </w:p>
        </w:tc>
      </w:tr>
      <w:tr>
        <w:trPr>
          <w:trHeight w:val="454"/>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成本指标</w:t>
            </w:r>
          </w:p>
        </w:tc>
        <w:tc>
          <w:tcPr>
            <w:tcW w:w="182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经济成本指标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kern w:val="0"/>
                <w:sz w:val="18"/>
                <w:szCs w:val="18"/>
              </w:rPr>
            </w:pPr>
            <w:r>
              <w:rPr>
                <w:rFonts w:ascii="宋体" w:cs="宋体" w:hAnsi="宋体" w:hint="eastAsia"/>
                <w:kern w:val="0"/>
                <w:sz w:val="18"/>
                <w:szCs w:val="18"/>
              </w:rPr>
              <w:t>总成本控制</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9.03</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万元</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kern w:val="0"/>
                <w:sz w:val="18"/>
                <w:szCs w:val="18"/>
              </w:rPr>
            </w:pPr>
            <w:r>
              <w:rPr>
                <w:rFonts w:ascii="宋体" w:cs="宋体" w:hAnsi="宋体"/>
                <w:kern w:val="0"/>
                <w:sz w:val="18"/>
                <w:szCs w:val="18"/>
              </w:rPr>
              <w:t>20</w:t>
            </w:r>
          </w:p>
        </w:tc>
        <w:tc>
          <w:tcPr>
            <w:tcW w:w="1060" w:type="dxa"/>
            <w:vAlign w:val="center"/>
          </w:tcPr>
          <w:p>
            <w:pPr>
              <w:widowControl/>
              <w:suppressAutoHyphens w:val="0"/>
              <w:adjustRightInd w:val="0"/>
              <w:snapToGrid w:val="0"/>
              <w:jc w:val="center"/>
              <w:rPr>
                <w:rFonts w:ascii="宋体" w:cs="宋体"/>
                <w:kern w:val="0"/>
                <w:sz w:val="18"/>
                <w:szCs w:val="18"/>
              </w:rPr>
            </w:pPr>
            <w:r>
              <w:rPr>
                <w:rFonts w:ascii="宋体" w:cs="宋体" w:hAnsi="宋体" w:hint="eastAsia"/>
                <w:kern w:val="0"/>
                <w:sz w:val="18"/>
                <w:szCs w:val="18"/>
              </w:rPr>
              <w:t>正向指标</w:t>
            </w:r>
          </w:p>
        </w:tc>
      </w:tr>
      <w:tr>
        <w:trPr>
          <w:trHeight w:val="454"/>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效益指标</w:t>
            </w: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经济效益指标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推进企业能效提升</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3</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20</w:t>
            </w:r>
          </w:p>
        </w:tc>
        <w:tc>
          <w:tcPr>
            <w:tcW w:w="1060" w:type="dxa"/>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r>
        <w:trPr>
          <w:trHeight w:val="454"/>
        </w:trPr>
        <w:tc>
          <w:tcPr>
            <w:tcW w:w="880" w:type="dxa"/>
            <w:vMerge/>
            <w:vAlign w:val="center"/>
          </w:tcPr>
          <w:p/>
        </w:tc>
        <w:tc>
          <w:tcPr>
            <w:tcW w:w="921" w:type="dxa"/>
            <w:vMerge/>
            <w:tcBorders>
              <w:top w:val="single" w:sz="4" w:space="0" w:color="auto"/>
              <w:left w:val="single" w:sz="4" w:space="0" w:color="auto"/>
              <w:right w:val="single" w:sz="4" w:space="0" w:color="auto"/>
            </w:tcBorders>
            <w:vAlign w:val="center"/>
          </w:tcPr>
          <w:p/>
        </w:tc>
        <w:tc>
          <w:tcPr>
            <w:tcW w:w="720" w:type="dxa"/>
            <w:vMerge/>
            <w:tcBorders>
              <w:top w:val="single" w:sz="4" w:space="0" w:color="auto"/>
              <w:left w:val="single" w:sz="4" w:space="0" w:color="auto"/>
              <w:right w:val="single" w:sz="4" w:space="0" w:color="auto"/>
            </w:tcBorders>
            <w:vAlign w:val="center"/>
          </w:tcPr>
          <w:p/>
        </w:tc>
        <w:tc>
          <w:tcPr>
            <w:tcW w:w="3047" w:type="dxa"/>
            <w:vMerge/>
            <w:tcBorders>
              <w:top w:val="single" w:sz="4" w:space="0" w:color="auto"/>
              <w:left w:val="single" w:sz="4" w:space="0" w:color="auto"/>
              <w:right w:val="single" w:sz="4" w:space="0" w:color="auto"/>
            </w:tcBorders>
            <w:vAlign w:val="center"/>
          </w:tcPr>
          <w:p/>
        </w:tc>
        <w:tc>
          <w:tcPr>
            <w:tcW w:w="1072"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满意度指标</w:t>
            </w:r>
          </w:p>
        </w:tc>
        <w:tc>
          <w:tcPr>
            <w:tcW w:w="18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服务对象满意度指标</w:t>
            </w:r>
          </w:p>
        </w:tc>
        <w:tc>
          <w:tcPr>
            <w:tcW w:w="2240" w:type="dxa"/>
            <w:tcBorders>
              <w:top w:val="single" w:sz="4" w:space="0" w:color="auto"/>
              <w:left w:val="single" w:sz="4" w:space="0" w:color="auto"/>
              <w:right w:val="single" w:sz="4" w:space="0" w:color="auto"/>
            </w:tcBorders>
            <w:vAlign w:val="center"/>
          </w:tcPr>
          <w:p>
            <w:pPr>
              <w:widowControl/>
              <w:suppressAutoHyphens w:val="0"/>
              <w:adjustRightInd w:val="0"/>
              <w:snapToGrid w:val="0"/>
              <w:rPr>
                <w:rFonts w:ascii="宋体" w:cs="宋体"/>
                <w:color w:val="000000"/>
                <w:kern w:val="0"/>
                <w:sz w:val="18"/>
                <w:szCs w:val="18"/>
              </w:rPr>
            </w:pPr>
            <w:r>
              <w:rPr>
                <w:rFonts w:ascii="宋体" w:cs="宋体" w:hAnsi="宋体" w:hint="eastAsia"/>
                <w:color w:val="000000"/>
                <w:kern w:val="0"/>
                <w:sz w:val="18"/>
                <w:szCs w:val="18"/>
              </w:rPr>
              <w:t>监察对象对节能监察工作的满意度</w:t>
            </w:r>
          </w:p>
        </w:tc>
        <w:tc>
          <w:tcPr>
            <w:tcW w:w="800" w:type="dxa"/>
            <w:tcBorders>
              <w:top w:val="single" w:sz="4" w:space="0" w:color="auto"/>
              <w:left w:val="single" w:sz="4" w:space="0" w:color="auto"/>
              <w:right w:val="single" w:sz="4" w:space="0" w:color="auto"/>
            </w:tcBorders>
            <w:noWrap/>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w:t>
            </w:r>
          </w:p>
        </w:tc>
        <w:tc>
          <w:tcPr>
            <w:tcW w:w="62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95</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w:t>
            </w:r>
          </w:p>
        </w:tc>
        <w:tc>
          <w:tcPr>
            <w:tcW w:w="940" w:type="dxa"/>
            <w:tcBorders>
              <w:top w:val="single" w:sz="4" w:space="0" w:color="auto"/>
              <w:left w:val="single" w:sz="4" w:space="0" w:color="auto"/>
              <w:right w:val="single" w:sz="4" w:space="0" w:color="auto"/>
            </w:tcBorders>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color w:val="000000"/>
                <w:kern w:val="0"/>
                <w:sz w:val="18"/>
                <w:szCs w:val="18"/>
              </w:rPr>
              <w:t>10</w:t>
            </w:r>
          </w:p>
        </w:tc>
        <w:tc>
          <w:tcPr>
            <w:tcW w:w="1060" w:type="dxa"/>
            <w:vAlign w:val="center"/>
          </w:tcPr>
          <w:p>
            <w:pPr>
              <w:widowControl/>
              <w:suppressAutoHyphens w:val="0"/>
              <w:adjustRightInd w:val="0"/>
              <w:snapToGrid w:val="0"/>
              <w:jc w:val="center"/>
              <w:rPr>
                <w:rFonts w:ascii="宋体" w:cs="宋体"/>
                <w:color w:val="000000"/>
                <w:kern w:val="0"/>
                <w:sz w:val="18"/>
                <w:szCs w:val="18"/>
              </w:rPr>
            </w:pPr>
            <w:r>
              <w:rPr>
                <w:rFonts w:ascii="宋体" w:cs="宋体" w:hAnsi="宋体" w:hint="eastAsia"/>
                <w:color w:val="000000"/>
                <w:kern w:val="0"/>
                <w:sz w:val="18"/>
                <w:szCs w:val="18"/>
              </w:rPr>
              <w:t>正向指标</w:t>
            </w:r>
          </w:p>
        </w:tc>
      </w:tr>
    </w:tbl>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p>
      <w:pPr>
        <w:widowControl/>
        <w:shd w:val="clear" w:color="auto" w:fill="FFFFFF"/>
        <w:suppressAutoHyphens/>
        <w:adjustRightInd w:val="0"/>
        <w:snapToGrid w:val="0"/>
        <w:rPr>
          <w:rFonts w:ascii="黑体" w:eastAsia="黑体" w:cs="方正小标宋简体" w:hAnsi="黑体"/>
          <w:color w:val="000000"/>
          <w:kern w:val="0"/>
          <w:sz w:val="32"/>
          <w:szCs w:val="32"/>
          <w:shd w:val="clear" w:color="auto" w:fill="FFFFFF"/>
        </w:rPr>
      </w:pPr>
      <w:r>
        <w:rPr>
          <w:rFonts w:ascii="黑体" w:eastAsia="黑体" w:cs="方正小标宋简体" w:hAnsi="黑体" w:hint="eastAsia"/>
          <w:color w:val="000000"/>
          <w:kern w:val="0"/>
          <w:sz w:val="32"/>
          <w:szCs w:val="32"/>
          <w:shd w:val="clear" w:color="auto" w:fill="FFFFFF"/>
        </w:rPr>
        <w:t>表</w:t>
      </w:r>
      <w:r>
        <w:rPr>
          <w:rFonts w:ascii="黑体" w:eastAsia="黑体" w:cs="方正小标宋简体" w:hAnsi="黑体"/>
          <w:color w:val="000000"/>
          <w:kern w:val="0"/>
          <w:sz w:val="32"/>
          <w:szCs w:val="32"/>
          <w:shd w:val="clear" w:color="auto" w:fill="FFFFFF"/>
        </w:rPr>
        <w:t>14</w:t>
      </w:r>
    </w:p>
    <w:p>
      <w:pPr>
        <w:adjustRightInd w:val="0"/>
        <w:snapToGrid w:val="0"/>
        <w:jc w:val="center"/>
        <w:outlineLvl w:val="0"/>
        <w:rPr>
          <w:rFonts w:ascii="方正小标宋简体" w:eastAsia="方正小标宋简体" w:cs="方正小标宋简体" w:hAnsi="方正小标宋简体"/>
          <w:color w:val="000000"/>
          <w:kern w:val="0"/>
          <w:sz w:val="44"/>
          <w:szCs w:val="44"/>
          <w:shd w:val="clear" w:color="auto" w:fill="FFFFFF"/>
        </w:rPr>
      </w:pPr>
      <w:bookmarkStart w:id="38" w:name="_Toc188545597"/>
      <w:bookmarkStart w:id="39" w:name="_Toc188545376"/>
      <w:r>
        <w:rPr>
          <w:rFonts w:ascii="方正小标宋简体" w:eastAsia="方正小标宋简体" w:cs="方正小标宋简体" w:hAnsi="方正小标宋简体"/>
          <w:color w:val="000000"/>
          <w:kern w:val="0"/>
          <w:sz w:val="44"/>
          <w:szCs w:val="44"/>
          <w:shd w:val="clear" w:color="auto" w:fill="FFFFFF"/>
        </w:rPr>
        <w:t>2025</w:t>
      </w:r>
      <w:r>
        <w:rPr>
          <w:rFonts w:ascii="方正小标宋简体" w:eastAsia="方正小标宋简体" w:cs="方正小标宋简体" w:hAnsi="方正小标宋简体" w:hint="eastAsia"/>
          <w:color w:val="000000"/>
          <w:kern w:val="0"/>
          <w:sz w:val="44"/>
          <w:szCs w:val="44"/>
          <w:shd w:val="clear" w:color="auto" w:fill="FFFFFF"/>
        </w:rPr>
        <w:t>年度部门整体绩效目标</w:t>
      </w:r>
      <w:bookmarkEnd w:id="38"/>
      <w:bookmarkEnd w:id="39"/>
    </w:p>
    <w:p>
      <w:pPr>
        <w:adjustRightInd w:val="0"/>
        <w:snapToGrid w:val="0"/>
        <w:rPr>
          <w:rFonts w:ascii="仿宋_GB2312" w:eastAsia="仿宋_GB2312" w:cs="仿宋_GB2312" w:hAnsi="仿宋_GB2312"/>
          <w:sz w:val="28"/>
          <w:szCs w:val="28"/>
        </w:rPr>
      </w:pPr>
      <w:r>
        <w:rPr>
          <w:rFonts w:ascii="仿宋_GB2312" w:eastAsia="仿宋_GB2312" w:cs="仿宋_GB2312" w:hAnsi="仿宋_GB2312" w:hint="eastAsia"/>
          <w:sz w:val="28"/>
          <w:szCs w:val="28"/>
        </w:rPr>
        <w:t>部门名称：</w:t>
      </w:r>
      <w:r>
        <w:rPr>
          <w:rFonts w:ascii="仿宋_GB2312" w:eastAsia="仿宋_GB2312" w:cs="仿宋_GB2312" w:hAnsi="仿宋_GB2312"/>
          <w:sz w:val="28"/>
          <w:szCs w:val="28"/>
        </w:rPr>
        <w:tab/>
        <w:tab/>
        <w:t xml:space="preserve">                                                                      </w:t>
        <w:tab/>
      </w:r>
      <w:r>
        <w:rPr>
          <w:rFonts w:ascii="仿宋_GB2312" w:eastAsia="仿宋_GB2312" w:cs="仿宋_GB2312" w:hAnsi="仿宋_GB2312" w:hint="eastAsia"/>
          <w:sz w:val="28"/>
          <w:szCs w:val="28"/>
        </w:rPr>
        <w:t>单位：万元</w:t>
      </w:r>
    </w:p>
    <w:tbl>
      <w:tblPr>
        <w:jc w:val="center"/>
        <w:tblW w:w="14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45"/>
        <w:gridCol w:w="1189"/>
        <w:gridCol w:w="1231"/>
        <w:gridCol w:w="2899"/>
        <w:gridCol w:w="1778"/>
        <w:gridCol w:w="1147"/>
        <w:gridCol w:w="980"/>
        <w:gridCol w:w="980"/>
        <w:gridCol w:w="980"/>
        <w:gridCol w:w="980"/>
        <w:gridCol w:w="980"/>
        <w:gridCol w:w="980"/>
      </w:tblGrid>
      <w:tr>
        <w:trPr>
          <w:trHeight w:val="454"/>
        </w:trPr>
        <w:tc>
          <w:tcPr>
            <w:tcW w:w="2965" w:type="dxa"/>
            <w:gridSpan w:val="3"/>
            <w:vAlign w:val="center"/>
          </w:tcPr>
          <w:p>
            <w:pPr>
              <w:widowControl/>
              <w:suppressAutoHyphens w:val="0"/>
              <w:jc w:val="center"/>
              <w:rPr>
                <w:rFonts w:ascii="宋体" w:cs="宋体"/>
                <w:b/>
                <w:bCs/>
                <w:color w:val="000000"/>
                <w:kern w:val="0"/>
                <w:szCs w:val="21"/>
              </w:rPr>
            </w:pPr>
            <w:r>
              <w:rPr>
                <w:rFonts w:ascii="宋体" w:cs="宋体" w:hAnsi="宋体" w:hint="eastAsia"/>
                <w:b/>
                <w:bCs/>
                <w:color w:val="000000"/>
                <w:kern w:val="0"/>
                <w:szCs w:val="21"/>
              </w:rPr>
              <w:t>年度部门整体预算</w:t>
            </w:r>
          </w:p>
        </w:tc>
        <w:tc>
          <w:tcPr>
            <w:tcW w:w="4677" w:type="dxa"/>
            <w:gridSpan w:val="2"/>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资金总额</w:t>
            </w:r>
          </w:p>
        </w:tc>
        <w:tc>
          <w:tcPr>
            <w:tcW w:w="3107" w:type="dxa"/>
            <w:gridSpan w:val="3"/>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财政拨款</w:t>
            </w:r>
          </w:p>
        </w:tc>
        <w:tc>
          <w:tcPr>
            <w:tcW w:w="3920" w:type="dxa"/>
            <w:gridSpan w:val="4"/>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其他资金</w:t>
            </w:r>
          </w:p>
        </w:tc>
      </w:tr>
      <w:tr>
        <w:trPr>
          <w:trHeight w:val="454"/>
        </w:trPr>
        <w:tc>
          <w:tcPr>
            <w:tcW w:w="2965" w:type="dxa"/>
            <w:gridSpan w:val="3"/>
            <w:vAlign w:val="center"/>
          </w:tcPr>
          <w:p>
            <w:pPr>
              <w:widowControl/>
              <w:suppressAutoHyphens w:val="0"/>
              <w:jc w:val="center"/>
              <w:rPr>
                <w:rFonts w:ascii="宋体" w:cs="宋体"/>
                <w:b/>
                <w:bCs/>
                <w:color w:val="000000"/>
                <w:kern w:val="0"/>
                <w:szCs w:val="21"/>
              </w:rPr>
            </w:pPr>
            <w:r>
              <w:rPr>
                <w:rFonts w:ascii="宋体" w:cs="宋体" w:hAnsi="宋体" w:hint="eastAsia"/>
                <w:b/>
                <w:bCs/>
                <w:color w:val="000000"/>
                <w:kern w:val="0"/>
                <w:szCs w:val="21"/>
              </w:rPr>
              <w:t>收入预算</w:t>
            </w:r>
          </w:p>
        </w:tc>
        <w:tc>
          <w:tcPr>
            <w:tcW w:w="4677" w:type="dxa"/>
            <w:gridSpan w:val="2"/>
            <w:tcBorders>
              <w:top w:val="single" w:sz="4" w:space="0" w:color="auto"/>
              <w:left w:val="single" w:sz="4" w:space="0" w:color="auto"/>
              <w:right w:val="single" w:sz="4" w:space="0" w:color="auto"/>
            </w:tcBorders>
            <w:vAlign w:val="center"/>
          </w:tcPr>
          <w:p>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jc w:val="center"/>
              <w:textAlignment w:val="center"/>
              <w:rPr>
                <w:rFonts w:ascii="宋体" w:cs="宋体"/>
                <w:kern w:val="0"/>
                <w:szCs w:val="21"/>
              </w:rPr>
            </w:pPr>
            <w:r>
              <w:rPr>
                <w:rFonts w:ascii="宋体" w:eastAsia="宋体" w:cs="宋体" w:hAnsi="宋体" w:hint="eastAsia"/>
                <w:i w:val="0"/>
                <w:iCs w:val="0"/>
                <w:color w:val="000000"/>
                <w:kern w:val="0"/>
                <w:sz w:val="20"/>
                <w:szCs w:val="20"/>
                <w:u w:val="none"/>
                <w:lang w:val="en-US" w:eastAsia="zh-CN"/>
              </w:rPr>
              <w:t>2800.61</w:t>
            </w:r>
          </w:p>
        </w:tc>
        <w:tc>
          <w:tcPr>
            <w:tcW w:w="3107" w:type="dxa"/>
            <w:gridSpan w:val="3"/>
            <w:tcBorders>
              <w:top w:val="single" w:sz="4" w:space="0" w:color="auto"/>
              <w:left w:val="single" w:sz="4" w:space="0" w:color="auto"/>
              <w:right w:val="single" w:sz="4" w:space="0" w:color="auto"/>
            </w:tcBorders>
            <w:vAlign w:val="center"/>
          </w:tcPr>
          <w:p>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jc w:val="center"/>
              <w:textAlignment w:val="center"/>
              <w:rPr>
                <w:rFonts w:ascii="宋体" w:cs="宋体"/>
                <w:kern w:val="0"/>
                <w:szCs w:val="21"/>
              </w:rPr>
            </w:pPr>
            <w:r>
              <w:rPr>
                <w:rFonts w:ascii="宋体" w:eastAsia="宋体" w:cs="宋体" w:hAnsi="宋体" w:hint="eastAsia"/>
                <w:i w:val="0"/>
                <w:iCs w:val="0"/>
                <w:color w:val="000000"/>
                <w:kern w:val="0"/>
                <w:sz w:val="20"/>
                <w:szCs w:val="20"/>
                <w:u w:val="none"/>
                <w:lang w:val="en-US" w:eastAsia="zh-CN"/>
              </w:rPr>
              <w:t>2743.5</w:t>
            </w:r>
          </w:p>
        </w:tc>
        <w:tc>
          <w:tcPr>
            <w:tcW w:w="3920" w:type="dxa"/>
            <w:gridSpan w:val="4"/>
            <w:vAlign w:val="center"/>
          </w:tcPr>
          <w:p>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jc w:val="center"/>
              <w:textAlignment w:val="center"/>
              <w:rPr>
                <w:rFonts w:ascii="宋体" w:cs="宋体"/>
                <w:kern w:val="0"/>
                <w:szCs w:val="21"/>
              </w:rPr>
            </w:pPr>
            <w:r>
              <w:rPr>
                <w:rFonts w:ascii="宋体" w:eastAsia="宋体" w:cs="宋体" w:hAnsi="宋体" w:hint="eastAsia"/>
                <w:i w:val="0"/>
                <w:iCs w:val="0"/>
                <w:color w:val="000000"/>
                <w:kern w:val="0"/>
                <w:sz w:val="20"/>
                <w:szCs w:val="20"/>
                <w:u w:val="none"/>
                <w:lang w:val="en-US" w:eastAsia="zh-CN"/>
              </w:rPr>
              <w:t>57.11</w:t>
            </w:r>
          </w:p>
        </w:tc>
      </w:tr>
      <w:tr>
        <w:trPr>
          <w:trHeight w:val="454"/>
        </w:trPr>
        <w:tc>
          <w:tcPr>
            <w:tcW w:w="2965" w:type="dxa"/>
            <w:gridSpan w:val="3"/>
            <w:vAlign w:val="bottom"/>
          </w:tcPr>
          <w:p>
            <w:pPr>
              <w:widowControl/>
              <w:suppressAutoHyphens w:val="0"/>
              <w:jc w:val="center"/>
              <w:rPr>
                <w:rFonts w:ascii="宋体" w:cs="宋体"/>
                <w:b/>
                <w:bCs/>
                <w:color w:val="000000"/>
                <w:kern w:val="0"/>
                <w:szCs w:val="21"/>
              </w:rPr>
            </w:pPr>
            <w:r>
              <w:rPr>
                <w:rFonts w:ascii="宋体" w:cs="宋体" w:hAnsi="宋体" w:hint="eastAsia"/>
                <w:b/>
                <w:bCs/>
                <w:color w:val="000000"/>
                <w:kern w:val="0"/>
                <w:szCs w:val="21"/>
              </w:rPr>
              <w:t>支出预算</w:t>
            </w:r>
          </w:p>
        </w:tc>
        <w:tc>
          <w:tcPr>
            <w:tcW w:w="4677" w:type="dxa"/>
            <w:gridSpan w:val="2"/>
            <w:tcBorders>
              <w:top w:val="single" w:sz="4" w:space="0" w:color="auto"/>
              <w:left w:val="single" w:sz="4" w:space="0" w:color="auto"/>
              <w:right w:val="single" w:sz="4" w:space="0" w:color="auto"/>
            </w:tcBorders>
            <w:vAlign w:val="center"/>
          </w:tcPr>
          <w:p>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jc w:val="center"/>
              <w:textAlignment w:val="center"/>
              <w:rPr>
                <w:rFonts w:ascii="宋体" w:cs="宋体"/>
                <w:kern w:val="0"/>
                <w:szCs w:val="21"/>
              </w:rPr>
            </w:pPr>
            <w:r>
              <w:rPr>
                <w:rFonts w:ascii="宋体" w:eastAsia="宋体" w:cs="宋体" w:hAnsi="宋体" w:hint="eastAsia"/>
                <w:i w:val="0"/>
                <w:iCs w:val="0"/>
                <w:color w:val="000000"/>
                <w:kern w:val="0"/>
                <w:sz w:val="20"/>
                <w:szCs w:val="20"/>
                <w:u w:val="none"/>
                <w:lang w:val="en-US" w:eastAsia="zh-CN"/>
              </w:rPr>
              <w:t>2800.61</w:t>
            </w:r>
          </w:p>
        </w:tc>
        <w:tc>
          <w:tcPr>
            <w:tcW w:w="3107" w:type="dxa"/>
            <w:gridSpan w:val="3"/>
            <w:tcBorders>
              <w:top w:val="single" w:sz="4" w:space="0" w:color="auto"/>
              <w:left w:val="single" w:sz="4" w:space="0" w:color="auto"/>
              <w:right w:val="single" w:sz="4" w:space="0" w:color="auto"/>
            </w:tcBorders>
            <w:vAlign w:val="center"/>
          </w:tcPr>
          <w:p>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jc w:val="center"/>
              <w:textAlignment w:val="center"/>
              <w:rPr>
                <w:rFonts w:ascii="宋体" w:cs="宋体"/>
                <w:kern w:val="0"/>
                <w:szCs w:val="21"/>
              </w:rPr>
            </w:pPr>
            <w:r>
              <w:rPr>
                <w:rFonts w:ascii="宋体" w:eastAsia="宋体" w:cs="宋体" w:hAnsi="宋体" w:hint="eastAsia"/>
                <w:i w:val="0"/>
                <w:iCs w:val="0"/>
                <w:color w:val="000000"/>
                <w:kern w:val="0"/>
                <w:sz w:val="20"/>
                <w:szCs w:val="20"/>
                <w:u w:val="none"/>
                <w:lang w:val="en-US" w:eastAsia="zh-CN"/>
              </w:rPr>
              <w:t>2743.5</w:t>
            </w:r>
          </w:p>
        </w:tc>
        <w:tc>
          <w:tcPr>
            <w:tcW w:w="3920" w:type="dxa"/>
            <w:gridSpan w:val="4"/>
            <w:vAlign w:val="center"/>
          </w:tcPr>
          <w:p>
            <w:pPr>
              <w:keepNext w:val="0"/>
              <w:keepLines w:val="0"/>
              <w:pageBreakBefore w:val="0"/>
              <w:widowControl w:val="0"/>
              <w:suppressLineNumbers w:val="0"/>
              <w:suppressAutoHyphens/>
              <w:kinsoku/>
              <w:wordWrap/>
              <w:overflowPunct w:val="0"/>
              <w:topLinePunct w:val="0"/>
              <w:autoSpaceDE/>
              <w:autoSpaceDN/>
              <w:bidi w:val="0"/>
              <w:adjustRightInd w:val="0"/>
              <w:snapToGrid w:val="0"/>
              <w:spacing w:line="240" w:lineRule="auto"/>
              <w:jc w:val="center"/>
              <w:textAlignment w:val="center"/>
              <w:rPr>
                <w:rFonts w:ascii="宋体" w:cs="宋体"/>
                <w:kern w:val="0"/>
                <w:szCs w:val="21"/>
              </w:rPr>
            </w:pPr>
            <w:r>
              <w:rPr>
                <w:rFonts w:ascii="宋体" w:eastAsia="宋体" w:cs="宋体" w:hAnsi="宋体" w:hint="eastAsia"/>
                <w:i w:val="0"/>
                <w:iCs w:val="0"/>
                <w:color w:val="000000"/>
                <w:kern w:val="0"/>
                <w:sz w:val="20"/>
                <w:szCs w:val="20"/>
                <w:u w:val="none"/>
                <w:lang w:val="en-US" w:eastAsia="zh-CN"/>
              </w:rPr>
              <w:t>57.11</w:t>
            </w:r>
          </w:p>
        </w:tc>
      </w:tr>
      <w:tr>
        <w:trPr>
          <w:trHeight w:val="1448"/>
        </w:trPr>
        <w:tc>
          <w:tcPr>
            <w:tcW w:w="2965" w:type="dxa"/>
            <w:gridSpan w:val="3"/>
            <w:vAlign w:val="center"/>
          </w:tcPr>
          <w:p>
            <w:pPr>
              <w:widowControl/>
              <w:suppressAutoHyphens w:val="0"/>
              <w:jc w:val="center"/>
              <w:rPr>
                <w:rFonts w:ascii="宋体" w:cs="宋体"/>
                <w:b/>
                <w:bCs/>
                <w:color w:val="000000"/>
                <w:kern w:val="0"/>
                <w:szCs w:val="21"/>
              </w:rPr>
            </w:pPr>
            <w:r>
              <w:rPr>
                <w:rFonts w:ascii="宋体" w:cs="宋体" w:hAnsi="宋体" w:hint="eastAsia"/>
                <w:b/>
                <w:bCs/>
                <w:color w:val="000000"/>
                <w:kern w:val="0"/>
                <w:szCs w:val="21"/>
              </w:rPr>
              <w:t>年度总体目标</w:t>
            </w:r>
          </w:p>
        </w:tc>
        <w:tc>
          <w:tcPr>
            <w:tcW w:w="11704" w:type="dxa"/>
            <w:gridSpan w:val="9"/>
            <w:vAlign w:val="center"/>
          </w:tcPr>
          <w:p>
            <w:pPr>
              <w:widowControl/>
              <w:suppressAutoHyphens w:val="0"/>
              <w:rPr>
                <w:rFonts w:ascii="宋体" w:cs="宋体"/>
                <w:kern w:val="0"/>
                <w:szCs w:val="21"/>
              </w:rPr>
            </w:pPr>
            <w:r>
              <w:rPr>
                <w:rFonts w:ascii="宋体" w:cs="宋体" w:hAnsi="宋体" w:hint="eastAsia"/>
                <w:kern w:val="0"/>
                <w:szCs w:val="21"/>
              </w:rPr>
              <w:t>坚持“工业强市”发展思路，树牢“工业定乾坤”理念，大力实施“</w:t>
            </w:r>
            <w:r>
              <w:rPr>
                <w:rFonts w:ascii="宋体" w:cs="宋体" w:hAnsi="宋体"/>
                <w:kern w:val="0"/>
                <w:szCs w:val="21"/>
              </w:rPr>
              <w:t>1345</w:t>
            </w:r>
            <w:r>
              <w:rPr>
                <w:rFonts w:ascii="宋体" w:cs="宋体" w:hAnsi="宋体" w:hint="eastAsia"/>
                <w:kern w:val="0"/>
                <w:szCs w:val="21"/>
              </w:rPr>
              <w:t>”发展战略，构建“</w:t>
            </w:r>
            <w:r>
              <w:rPr>
                <w:rFonts w:ascii="宋体" w:cs="宋体" w:hAnsi="宋体"/>
                <w:kern w:val="0"/>
                <w:szCs w:val="21"/>
              </w:rPr>
              <w:t>1+3+3</w:t>
            </w:r>
            <w:r>
              <w:rPr>
                <w:rFonts w:ascii="宋体" w:cs="宋体" w:hAnsi="宋体" w:hint="eastAsia"/>
                <w:kern w:val="0"/>
                <w:szCs w:val="21"/>
              </w:rPr>
              <w:t>”工业优势主导产业体系，聚力产业升级、项目促建、园区扩容、企业培育、为企服务等工作，全面提振工业运行，推动工业突破性增长。全年力争实现规上工业产值</w:t>
            </w:r>
            <w:r>
              <w:rPr>
                <w:rFonts w:ascii="宋体" w:cs="宋体" w:hAnsi="宋体"/>
                <w:kern w:val="0"/>
                <w:szCs w:val="21"/>
              </w:rPr>
              <w:t>800</w:t>
            </w:r>
            <w:r>
              <w:rPr>
                <w:rFonts w:ascii="宋体" w:cs="宋体" w:hAnsi="宋体" w:hint="eastAsia"/>
                <w:kern w:val="0"/>
                <w:szCs w:val="21"/>
              </w:rPr>
              <w:t>亿元以上、工业投资</w:t>
            </w:r>
            <w:r>
              <w:rPr>
                <w:rFonts w:ascii="宋体" w:cs="宋体" w:hAnsi="宋体"/>
                <w:kern w:val="0"/>
                <w:szCs w:val="21"/>
              </w:rPr>
              <w:t>120</w:t>
            </w:r>
            <w:r>
              <w:rPr>
                <w:rFonts w:ascii="宋体" w:cs="宋体" w:hAnsi="宋体" w:hint="eastAsia"/>
                <w:kern w:val="0"/>
                <w:szCs w:val="21"/>
              </w:rPr>
              <w:t>亿元以上、技改投资</w:t>
            </w:r>
            <w:r>
              <w:rPr>
                <w:rFonts w:ascii="宋体" w:cs="宋体" w:hAnsi="宋体"/>
                <w:kern w:val="0"/>
                <w:szCs w:val="21"/>
              </w:rPr>
              <w:t>50</w:t>
            </w:r>
            <w:r>
              <w:rPr>
                <w:rFonts w:ascii="宋体" w:cs="宋体" w:hAnsi="宋体" w:hint="eastAsia"/>
                <w:kern w:val="0"/>
                <w:szCs w:val="21"/>
              </w:rPr>
              <w:t>亿元以上，新培育规上工业企业</w:t>
            </w:r>
            <w:r>
              <w:rPr>
                <w:rFonts w:ascii="宋体" w:cs="宋体" w:hAnsi="宋体"/>
                <w:kern w:val="0"/>
                <w:szCs w:val="21"/>
              </w:rPr>
              <w:t>50</w:t>
            </w:r>
            <w:r>
              <w:rPr>
                <w:rFonts w:ascii="宋体" w:cs="宋体" w:hAnsi="宋体" w:hint="eastAsia"/>
                <w:kern w:val="0"/>
                <w:szCs w:val="21"/>
              </w:rPr>
              <w:t>户以上，新增园区面积</w:t>
            </w:r>
            <w:r>
              <w:rPr>
                <w:rFonts w:ascii="宋体" w:cs="宋体" w:hAnsi="宋体"/>
                <w:kern w:val="0"/>
                <w:szCs w:val="21"/>
              </w:rPr>
              <w:t>3000</w:t>
            </w:r>
            <w:r>
              <w:rPr>
                <w:rFonts w:ascii="宋体" w:cs="宋体" w:hAnsi="宋体" w:hint="eastAsia"/>
                <w:kern w:val="0"/>
                <w:szCs w:val="21"/>
              </w:rPr>
              <w:t>亩以上，新招引项目</w:t>
            </w:r>
            <w:r>
              <w:rPr>
                <w:rFonts w:ascii="宋体" w:cs="宋体" w:hAnsi="宋体"/>
                <w:kern w:val="0"/>
                <w:szCs w:val="21"/>
              </w:rPr>
              <w:t>60</w:t>
            </w:r>
            <w:r>
              <w:rPr>
                <w:rFonts w:ascii="宋体" w:cs="宋体" w:hAnsi="宋体" w:hint="eastAsia"/>
                <w:kern w:val="0"/>
                <w:szCs w:val="21"/>
              </w:rPr>
              <w:t>个以上。</w:t>
            </w:r>
          </w:p>
        </w:tc>
      </w:tr>
      <w:tr>
        <w:trPr>
          <w:trHeight w:val="454"/>
        </w:trPr>
        <w:tc>
          <w:tcPr>
            <w:tcW w:w="14669" w:type="dxa"/>
            <w:gridSpan w:val="12"/>
            <w:vAlign w:val="center"/>
          </w:tcPr>
          <w:p>
            <w:pPr>
              <w:widowControl/>
              <w:suppressAutoHyphens w:val="0"/>
              <w:jc w:val="center"/>
              <w:rPr>
                <w:rFonts w:ascii="宋体" w:cs="宋体"/>
                <w:b/>
                <w:bCs/>
                <w:color w:val="000000"/>
                <w:kern w:val="0"/>
                <w:szCs w:val="21"/>
              </w:rPr>
            </w:pPr>
            <w:r>
              <w:rPr>
                <w:rFonts w:ascii="宋体" w:cs="宋体" w:hAnsi="宋体" w:hint="eastAsia"/>
                <w:b/>
                <w:bCs/>
                <w:color w:val="000000"/>
                <w:kern w:val="0"/>
                <w:szCs w:val="21"/>
              </w:rPr>
              <w:t>管理效率</w:t>
            </w:r>
          </w:p>
        </w:tc>
      </w:tr>
      <w:tr>
        <w:trPr>
          <w:trHeight w:val="302"/>
        </w:trPr>
        <w:tc>
          <w:tcPr>
            <w:tcW w:w="545" w:type="dxa"/>
            <w:vMerge w:val="restart"/>
            <w:vAlign w:val="center"/>
          </w:tcPr>
          <w:p>
            <w:pPr>
              <w:widowControl/>
              <w:suppressAutoHyphens w:val="0"/>
              <w:jc w:val="center"/>
              <w:rPr>
                <w:rFonts w:ascii="宋体" w:cs="宋体"/>
                <w:b/>
                <w:bCs/>
                <w:color w:val="000000"/>
                <w:kern w:val="0"/>
                <w:szCs w:val="21"/>
              </w:rPr>
            </w:pPr>
            <w:r>
              <w:rPr>
                <w:rFonts w:ascii="宋体" w:cs="宋体" w:hAnsi="宋体" w:hint="eastAsia"/>
                <w:b/>
                <w:bCs/>
                <w:color w:val="000000"/>
                <w:kern w:val="0"/>
                <w:szCs w:val="21"/>
              </w:rPr>
              <w:t>序号</w:t>
            </w:r>
          </w:p>
        </w:tc>
        <w:tc>
          <w:tcPr>
            <w:tcW w:w="1189" w:type="dxa"/>
            <w:vMerge w:val="restart"/>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一级指标</w:t>
            </w:r>
          </w:p>
        </w:tc>
        <w:tc>
          <w:tcPr>
            <w:tcW w:w="1231" w:type="dxa"/>
            <w:vMerge w:val="restart"/>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二级指标</w:t>
            </w:r>
          </w:p>
        </w:tc>
        <w:tc>
          <w:tcPr>
            <w:tcW w:w="2899" w:type="dxa"/>
            <w:vMerge w:val="restart"/>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三级指标</w:t>
            </w:r>
          </w:p>
        </w:tc>
        <w:tc>
          <w:tcPr>
            <w:tcW w:w="1778" w:type="dxa"/>
            <w:vMerge w:val="restart"/>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指标值</w:t>
            </w:r>
          </w:p>
        </w:tc>
        <w:tc>
          <w:tcPr>
            <w:tcW w:w="7027" w:type="dxa"/>
            <w:gridSpan w:val="7"/>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指标参考值</w:t>
            </w:r>
          </w:p>
        </w:tc>
      </w:tr>
      <w:tr>
        <w:trPr>
          <w:trHeight w:val="454"/>
        </w:trPr>
        <w:tc>
          <w:tcPr>
            <w:tcW w:w="545" w:type="dxa"/>
            <w:vMerge/>
            <w:vAlign w:val="center"/>
          </w:tcPr>
          <w:p/>
        </w:tc>
        <w:tc>
          <w:tcPr>
            <w:tcW w:w="1189" w:type="dxa"/>
            <w:vMerge/>
            <w:tcBorders>
              <w:top w:val="single" w:sz="4" w:space="0" w:color="auto"/>
              <w:left w:val="single" w:sz="4" w:space="0" w:color="auto"/>
              <w:right w:val="single" w:sz="4" w:space="0" w:color="auto"/>
            </w:tcBorders>
            <w:vAlign w:val="center"/>
          </w:tcPr>
          <w:p/>
        </w:tc>
        <w:tc>
          <w:tcPr>
            <w:tcW w:w="1231" w:type="dxa"/>
            <w:vMerge/>
            <w:tcBorders>
              <w:top w:val="single" w:sz="4" w:space="0" w:color="auto"/>
              <w:left w:val="single" w:sz="4" w:space="0" w:color="auto"/>
              <w:right w:val="single" w:sz="4" w:space="0" w:color="auto"/>
            </w:tcBorders>
            <w:vAlign w:val="center"/>
          </w:tcPr>
          <w:p/>
        </w:tc>
        <w:tc>
          <w:tcPr>
            <w:tcW w:w="2899" w:type="dxa"/>
            <w:vMerge/>
            <w:tcBorders>
              <w:top w:val="single" w:sz="4" w:space="0" w:color="auto"/>
              <w:left w:val="single" w:sz="4" w:space="0" w:color="auto"/>
              <w:right w:val="single" w:sz="4" w:space="0" w:color="auto"/>
            </w:tcBorders>
            <w:vAlign w:val="center"/>
          </w:tcPr>
          <w:p/>
        </w:tc>
        <w:tc>
          <w:tcPr>
            <w:tcW w:w="1778" w:type="dxa"/>
            <w:vMerge/>
            <w:tcBorders>
              <w:top w:val="single" w:sz="4" w:space="0" w:color="auto"/>
              <w:left w:val="single" w:sz="4" w:space="0" w:color="auto"/>
              <w:right w:val="single" w:sz="4" w:space="0" w:color="auto"/>
            </w:tcBorders>
            <w:vAlign w:val="center"/>
          </w:tcPr>
          <w:p/>
        </w:tc>
        <w:tc>
          <w:tcPr>
            <w:tcW w:w="1147"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三年均值</w:t>
            </w:r>
          </w:p>
        </w:tc>
        <w:tc>
          <w:tcPr>
            <w:tcW w:w="1960" w:type="dxa"/>
            <w:gridSpan w:val="2"/>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color w:val="000000"/>
                <w:kern w:val="0"/>
                <w:szCs w:val="21"/>
              </w:rPr>
              <w:t>2022</w:t>
            </w:r>
            <w:r>
              <w:rPr>
                <w:rFonts w:ascii="宋体" w:cs="宋体" w:hAnsi="宋体" w:hint="eastAsia"/>
                <w:color w:val="000000"/>
                <w:kern w:val="0"/>
                <w:szCs w:val="21"/>
              </w:rPr>
              <w:t>年</w:t>
            </w:r>
          </w:p>
        </w:tc>
        <w:tc>
          <w:tcPr>
            <w:tcW w:w="1960" w:type="dxa"/>
            <w:gridSpan w:val="2"/>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color w:val="000000"/>
                <w:kern w:val="0"/>
                <w:szCs w:val="21"/>
              </w:rPr>
              <w:t>2023</w:t>
            </w:r>
            <w:r>
              <w:rPr>
                <w:rFonts w:ascii="宋体" w:cs="宋体" w:hAnsi="宋体" w:hint="eastAsia"/>
                <w:color w:val="000000"/>
                <w:kern w:val="0"/>
                <w:szCs w:val="21"/>
              </w:rPr>
              <w:t>年</w:t>
            </w:r>
          </w:p>
        </w:tc>
        <w:tc>
          <w:tcPr>
            <w:tcW w:w="1960" w:type="dxa"/>
            <w:gridSpan w:val="2"/>
            <w:vAlign w:val="center"/>
          </w:tcPr>
          <w:p>
            <w:pPr>
              <w:widowControl/>
              <w:suppressAutoHyphens w:val="0"/>
              <w:jc w:val="center"/>
              <w:rPr>
                <w:rFonts w:ascii="宋体" w:cs="宋体"/>
                <w:color w:val="000000"/>
                <w:kern w:val="0"/>
                <w:szCs w:val="21"/>
              </w:rPr>
            </w:pPr>
            <w:r>
              <w:rPr>
                <w:rFonts w:ascii="宋体" w:cs="宋体" w:hAnsi="宋体"/>
                <w:color w:val="000000"/>
                <w:kern w:val="0"/>
                <w:szCs w:val="21"/>
              </w:rPr>
              <w:t>2024</w:t>
            </w:r>
            <w:r>
              <w:rPr>
                <w:rFonts w:ascii="宋体" w:cs="宋体" w:hAnsi="宋体" w:hint="eastAsia"/>
                <w:color w:val="000000"/>
                <w:kern w:val="0"/>
                <w:szCs w:val="21"/>
              </w:rPr>
              <w:t>年</w:t>
            </w:r>
          </w:p>
        </w:tc>
      </w:tr>
      <w:tr>
        <w:trPr>
          <w:trHeight w:val="454"/>
        </w:trPr>
        <w:tc>
          <w:tcPr>
            <w:tcW w:w="545" w:type="dxa"/>
            <w:vAlign w:val="center"/>
          </w:tcPr>
          <w:p>
            <w:pPr>
              <w:widowControl/>
              <w:suppressAutoHyphens w:val="0"/>
              <w:jc w:val="center"/>
              <w:rPr>
                <w:rFonts w:ascii="宋体" w:cs="宋体"/>
                <w:b/>
                <w:bCs/>
                <w:color w:val="000000"/>
                <w:kern w:val="0"/>
                <w:szCs w:val="21"/>
              </w:rPr>
            </w:pPr>
            <w:r>
              <w:rPr>
                <w:rFonts w:ascii="宋体" w:cs="宋体" w:hAnsi="宋体"/>
                <w:b/>
                <w:bCs/>
                <w:color w:val="000000"/>
                <w:kern w:val="0"/>
                <w:szCs w:val="21"/>
              </w:rPr>
              <w:t>1</w:t>
            </w:r>
          </w:p>
        </w:tc>
        <w:tc>
          <w:tcPr>
            <w:tcW w:w="118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成本指标</w:t>
            </w:r>
          </w:p>
        </w:tc>
        <w:tc>
          <w:tcPr>
            <w:tcW w:w="1231"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预算管理</w:t>
            </w:r>
          </w:p>
        </w:tc>
        <w:tc>
          <w:tcPr>
            <w:tcW w:w="289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财政拨款预算编制偏离度</w:t>
            </w:r>
          </w:p>
        </w:tc>
        <w:tc>
          <w:tcPr>
            <w:tcW w:w="177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w:t>
            </w:r>
            <w:r>
              <w:rPr>
                <w:rFonts w:ascii="宋体" w:cs="宋体" w:hAnsi="宋体"/>
                <w:color w:val="000000"/>
                <w:kern w:val="0"/>
                <w:szCs w:val="21"/>
              </w:rPr>
              <w:t>0.66%</w:t>
            </w:r>
          </w:p>
        </w:tc>
        <w:tc>
          <w:tcPr>
            <w:tcW w:w="1147"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kern w:val="0"/>
                <w:szCs w:val="21"/>
              </w:rPr>
              <w:t>0.66%</w:t>
            </w:r>
          </w:p>
        </w:tc>
        <w:tc>
          <w:tcPr>
            <w:tcW w:w="1960" w:type="dxa"/>
            <w:gridSpan w:val="2"/>
            <w:tcBorders>
              <w:top w:val="single" w:sz="4" w:space="0" w:color="auto"/>
              <w:left w:val="single" w:sz="4" w:space="0" w:color="auto"/>
              <w:right w:val="single" w:sz="4" w:space="0" w:color="auto"/>
            </w:tcBorders>
            <w:vAlign w:val="bottom"/>
          </w:tcPr>
          <w:p>
            <w:pPr>
              <w:widowControl/>
              <w:suppressAutoHyphens w:val="0"/>
              <w:jc w:val="left"/>
              <w:rPr>
                <w:rFonts w:ascii="宋体" w:cs="宋体"/>
                <w:kern w:val="0"/>
                <w:szCs w:val="21"/>
              </w:rPr>
            </w:pPr>
            <w:r>
              <w:rPr>
                <w:rFonts w:ascii="宋体" w:cs="宋体" w:hAnsi="宋体"/>
                <w:kern w:val="0"/>
                <w:szCs w:val="21"/>
              </w:rPr>
              <w:t>1%</w:t>
            </w:r>
          </w:p>
        </w:tc>
        <w:tc>
          <w:tcPr>
            <w:tcW w:w="1960" w:type="dxa"/>
            <w:gridSpan w:val="2"/>
            <w:tcBorders>
              <w:top w:val="single" w:sz="4" w:space="0" w:color="auto"/>
              <w:left w:val="single" w:sz="4" w:space="0" w:color="auto"/>
              <w:right w:val="single" w:sz="4" w:space="0" w:color="auto"/>
            </w:tcBorders>
            <w:vAlign w:val="bottom"/>
          </w:tcPr>
          <w:p>
            <w:pPr>
              <w:widowControl/>
              <w:suppressAutoHyphens w:val="0"/>
              <w:jc w:val="left"/>
              <w:rPr>
                <w:rFonts w:ascii="宋体" w:cs="宋体"/>
                <w:kern w:val="0"/>
                <w:szCs w:val="21"/>
              </w:rPr>
            </w:pPr>
            <w:r>
              <w:rPr>
                <w:rFonts w:ascii="宋体" w:cs="宋体" w:hAnsi="宋体"/>
                <w:kern w:val="0"/>
                <w:szCs w:val="21"/>
              </w:rPr>
              <w:t>0%</w:t>
            </w:r>
          </w:p>
        </w:tc>
        <w:tc>
          <w:tcPr>
            <w:tcW w:w="1960" w:type="dxa"/>
            <w:gridSpan w:val="2"/>
            <w:vAlign w:val="bottom"/>
          </w:tcPr>
          <w:p>
            <w:pPr>
              <w:widowControl/>
              <w:suppressAutoHyphens w:val="0"/>
              <w:jc w:val="left"/>
              <w:rPr>
                <w:rFonts w:ascii="宋体" w:cs="宋体"/>
                <w:kern w:val="0"/>
                <w:szCs w:val="21"/>
              </w:rPr>
            </w:pPr>
            <w:r>
              <w:rPr>
                <w:rFonts w:ascii="宋体" w:cs="宋体" w:hAnsi="宋体"/>
                <w:kern w:val="0"/>
                <w:szCs w:val="21"/>
              </w:rPr>
              <w:t>1%</w:t>
            </w:r>
          </w:p>
        </w:tc>
      </w:tr>
      <w:tr>
        <w:trPr>
          <w:trHeight w:val="454"/>
        </w:trPr>
        <w:tc>
          <w:tcPr>
            <w:tcW w:w="545" w:type="dxa"/>
            <w:vAlign w:val="center"/>
          </w:tcPr>
          <w:p>
            <w:pPr>
              <w:widowControl/>
              <w:suppressAutoHyphens w:val="0"/>
              <w:jc w:val="center"/>
              <w:rPr>
                <w:rFonts w:ascii="宋体" w:cs="宋体"/>
                <w:b/>
                <w:bCs/>
                <w:color w:val="000000"/>
                <w:kern w:val="0"/>
                <w:szCs w:val="21"/>
              </w:rPr>
            </w:pPr>
            <w:r>
              <w:rPr>
                <w:rFonts w:ascii="宋体" w:cs="宋体" w:hAnsi="宋体"/>
                <w:b/>
                <w:bCs/>
                <w:color w:val="000000"/>
                <w:kern w:val="0"/>
                <w:szCs w:val="21"/>
              </w:rPr>
              <w:t>2</w:t>
            </w:r>
          </w:p>
        </w:tc>
        <w:tc>
          <w:tcPr>
            <w:tcW w:w="118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成本指标</w:t>
            </w:r>
          </w:p>
        </w:tc>
        <w:tc>
          <w:tcPr>
            <w:tcW w:w="1231"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预算管理</w:t>
            </w:r>
          </w:p>
        </w:tc>
        <w:tc>
          <w:tcPr>
            <w:tcW w:w="289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预算年终结余率</w:t>
            </w:r>
          </w:p>
        </w:tc>
        <w:tc>
          <w:tcPr>
            <w:tcW w:w="177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w:t>
            </w:r>
            <w:r>
              <w:rPr>
                <w:rFonts w:ascii="宋体" w:cs="宋体" w:hAnsi="宋体"/>
                <w:color w:val="000000"/>
                <w:kern w:val="0"/>
                <w:szCs w:val="21"/>
              </w:rPr>
              <w:t>6%</w:t>
            </w:r>
          </w:p>
        </w:tc>
        <w:tc>
          <w:tcPr>
            <w:tcW w:w="1147"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kern w:val="0"/>
                <w:szCs w:val="21"/>
              </w:rPr>
              <w:t>6%</w:t>
            </w:r>
          </w:p>
        </w:tc>
        <w:tc>
          <w:tcPr>
            <w:tcW w:w="1960" w:type="dxa"/>
            <w:gridSpan w:val="2"/>
            <w:tcBorders>
              <w:top w:val="single" w:sz="4" w:space="0" w:color="auto"/>
              <w:left w:val="single" w:sz="4" w:space="0" w:color="auto"/>
              <w:right w:val="single" w:sz="4" w:space="0" w:color="auto"/>
            </w:tcBorders>
            <w:vAlign w:val="bottom"/>
          </w:tcPr>
          <w:p>
            <w:pPr>
              <w:widowControl/>
              <w:suppressAutoHyphens w:val="0"/>
              <w:jc w:val="left"/>
              <w:rPr>
                <w:rFonts w:ascii="宋体" w:cs="宋体"/>
                <w:kern w:val="0"/>
                <w:szCs w:val="21"/>
              </w:rPr>
            </w:pPr>
            <w:r>
              <w:rPr>
                <w:rFonts w:ascii="宋体" w:cs="宋体" w:hAnsi="宋体"/>
                <w:kern w:val="0"/>
                <w:szCs w:val="21"/>
              </w:rPr>
              <w:t>13%</w:t>
            </w:r>
          </w:p>
        </w:tc>
        <w:tc>
          <w:tcPr>
            <w:tcW w:w="1960" w:type="dxa"/>
            <w:gridSpan w:val="2"/>
            <w:tcBorders>
              <w:top w:val="single" w:sz="4" w:space="0" w:color="auto"/>
              <w:left w:val="single" w:sz="4" w:space="0" w:color="auto"/>
              <w:right w:val="single" w:sz="4" w:space="0" w:color="auto"/>
            </w:tcBorders>
            <w:vAlign w:val="bottom"/>
          </w:tcPr>
          <w:p>
            <w:pPr>
              <w:widowControl/>
              <w:suppressAutoHyphens w:val="0"/>
              <w:jc w:val="left"/>
              <w:rPr>
                <w:rFonts w:ascii="宋体" w:cs="宋体"/>
                <w:kern w:val="0"/>
                <w:szCs w:val="21"/>
              </w:rPr>
            </w:pPr>
            <w:r>
              <w:rPr>
                <w:rFonts w:ascii="宋体" w:cs="宋体" w:hAnsi="宋体"/>
                <w:kern w:val="0"/>
                <w:szCs w:val="21"/>
              </w:rPr>
              <w:t>2%</w:t>
            </w:r>
          </w:p>
        </w:tc>
        <w:tc>
          <w:tcPr>
            <w:tcW w:w="1960" w:type="dxa"/>
            <w:gridSpan w:val="2"/>
            <w:vAlign w:val="bottom"/>
          </w:tcPr>
          <w:p>
            <w:pPr>
              <w:widowControl/>
              <w:suppressAutoHyphens w:val="0"/>
              <w:jc w:val="left"/>
              <w:rPr>
                <w:rFonts w:ascii="宋体" w:cs="宋体"/>
                <w:kern w:val="0"/>
                <w:szCs w:val="21"/>
              </w:rPr>
            </w:pPr>
            <w:r>
              <w:rPr>
                <w:rFonts w:ascii="宋体" w:cs="宋体" w:hAnsi="宋体"/>
                <w:kern w:val="0"/>
                <w:szCs w:val="21"/>
              </w:rPr>
              <w:t>2%</w:t>
            </w:r>
          </w:p>
        </w:tc>
      </w:tr>
      <w:tr>
        <w:trPr>
          <w:trHeight w:val="454"/>
        </w:trPr>
        <w:tc>
          <w:tcPr>
            <w:tcW w:w="545" w:type="dxa"/>
            <w:vAlign w:val="center"/>
          </w:tcPr>
          <w:p>
            <w:pPr>
              <w:widowControl/>
              <w:suppressAutoHyphens w:val="0"/>
              <w:jc w:val="center"/>
              <w:rPr>
                <w:rFonts w:ascii="宋体" w:cs="宋体"/>
                <w:b/>
                <w:bCs/>
                <w:color w:val="000000"/>
                <w:kern w:val="0"/>
                <w:szCs w:val="21"/>
              </w:rPr>
            </w:pPr>
            <w:r>
              <w:rPr>
                <w:rFonts w:ascii="宋体" w:cs="宋体" w:hAnsi="宋体"/>
                <w:b/>
                <w:bCs/>
                <w:color w:val="000000"/>
                <w:kern w:val="0"/>
                <w:szCs w:val="21"/>
              </w:rPr>
              <w:t>3</w:t>
            </w:r>
          </w:p>
        </w:tc>
        <w:tc>
          <w:tcPr>
            <w:tcW w:w="118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成本指标</w:t>
            </w:r>
          </w:p>
        </w:tc>
        <w:tc>
          <w:tcPr>
            <w:tcW w:w="1231"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预算管理</w:t>
            </w:r>
          </w:p>
        </w:tc>
        <w:tc>
          <w:tcPr>
            <w:tcW w:w="289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一般性支出金额</w:t>
            </w:r>
          </w:p>
        </w:tc>
        <w:tc>
          <w:tcPr>
            <w:tcW w:w="177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w:t>
            </w:r>
            <w:r>
              <w:rPr>
                <w:rFonts w:ascii="宋体" w:cs="宋体" w:hAnsi="宋体"/>
                <w:color w:val="000000"/>
                <w:kern w:val="0"/>
                <w:szCs w:val="21"/>
              </w:rPr>
              <w:t>114.69</w:t>
            </w:r>
            <w:r>
              <w:rPr>
                <w:rFonts w:ascii="宋体" w:cs="宋体" w:hAnsi="宋体" w:hint="eastAsia"/>
                <w:color w:val="000000"/>
                <w:kern w:val="0"/>
                <w:szCs w:val="21"/>
              </w:rPr>
              <w:t>万元</w:t>
            </w:r>
          </w:p>
        </w:tc>
        <w:tc>
          <w:tcPr>
            <w:tcW w:w="2127" w:type="dxa"/>
            <w:gridSpan w:val="2"/>
            <w:tcBorders>
              <w:top w:val="single" w:sz="4" w:space="0" w:color="auto"/>
              <w:left w:val="single" w:sz="4" w:space="0" w:color="auto"/>
              <w:right w:val="single" w:sz="4" w:space="0" w:color="auto"/>
            </w:tcBorders>
            <w:vAlign w:val="center"/>
          </w:tcPr>
          <w:p>
            <w:pPr>
              <w:widowControl/>
              <w:suppressAutoHyphens w:val="0"/>
              <w:jc w:val="left"/>
              <w:rPr>
                <w:rFonts w:ascii="宋体" w:cs="宋体"/>
                <w:kern w:val="0"/>
                <w:szCs w:val="21"/>
              </w:rPr>
            </w:pPr>
            <w:r>
              <w:rPr>
                <w:rFonts w:ascii="宋体" w:cs="宋体" w:hAnsi="宋体"/>
                <w:kern w:val="0"/>
                <w:szCs w:val="21"/>
              </w:rPr>
              <w:t>114.69</w:t>
            </w:r>
            <w:r>
              <w:rPr>
                <w:rFonts w:ascii="宋体" w:cs="宋体" w:hAnsi="宋体" w:hint="eastAsia"/>
                <w:kern w:val="0"/>
                <w:szCs w:val="21"/>
              </w:rPr>
              <w:t>万元</w:t>
            </w:r>
          </w:p>
        </w:tc>
        <w:tc>
          <w:tcPr>
            <w:tcW w:w="1960" w:type="dxa"/>
            <w:gridSpan w:val="2"/>
            <w:tcBorders>
              <w:top w:val="single" w:sz="4" w:space="0" w:color="auto"/>
              <w:left w:val="single" w:sz="4" w:space="0" w:color="auto"/>
              <w:right w:val="single" w:sz="4" w:space="0" w:color="auto"/>
            </w:tcBorders>
            <w:vAlign w:val="center"/>
          </w:tcPr>
          <w:p>
            <w:pPr>
              <w:widowControl/>
              <w:suppressAutoHyphens w:val="0"/>
              <w:jc w:val="left"/>
              <w:rPr>
                <w:rFonts w:ascii="宋体" w:cs="宋体"/>
                <w:kern w:val="0"/>
                <w:szCs w:val="21"/>
              </w:rPr>
            </w:pPr>
            <w:r>
              <w:rPr>
                <w:rFonts w:ascii="宋体" w:cs="宋体" w:hAnsi="宋体" w:hint="eastAsia"/>
                <w:kern w:val="0"/>
                <w:szCs w:val="21"/>
              </w:rPr>
              <w:t>　</w:t>
            </w:r>
          </w:p>
        </w:tc>
        <w:tc>
          <w:tcPr>
            <w:tcW w:w="1960" w:type="dxa"/>
            <w:gridSpan w:val="2"/>
            <w:tcBorders>
              <w:top w:val="single" w:sz="4" w:space="0" w:color="auto"/>
              <w:left w:val="single" w:sz="4" w:space="0" w:color="auto"/>
              <w:right w:val="single" w:sz="4" w:space="0" w:color="auto"/>
            </w:tcBorders>
            <w:vAlign w:val="center"/>
          </w:tcPr>
          <w:p>
            <w:pPr>
              <w:widowControl/>
              <w:suppressAutoHyphens w:val="0"/>
              <w:jc w:val="left"/>
              <w:rPr>
                <w:rFonts w:ascii="宋体" w:cs="宋体"/>
                <w:kern w:val="0"/>
                <w:szCs w:val="21"/>
              </w:rPr>
            </w:pPr>
            <w:r>
              <w:rPr>
                <w:rFonts w:ascii="宋体" w:cs="宋体" w:hAnsi="宋体" w:hint="eastAsia"/>
                <w:kern w:val="0"/>
                <w:szCs w:val="21"/>
              </w:rPr>
              <w:t>　</w:t>
            </w:r>
          </w:p>
        </w:tc>
        <w:tc>
          <w:tcPr>
            <w:tcW w:w="980" w:type="dxa"/>
            <w:vAlign w:val="center"/>
          </w:tcPr>
          <w:p>
            <w:pPr>
              <w:widowControl/>
              <w:suppressAutoHyphens w:val="0"/>
              <w:jc w:val="left"/>
              <w:rPr>
                <w:rFonts w:ascii="宋体" w:cs="宋体"/>
                <w:kern w:val="0"/>
                <w:szCs w:val="21"/>
              </w:rPr>
            </w:pPr>
            <w:r>
              <w:rPr>
                <w:rFonts w:ascii="宋体" w:cs="宋体" w:hAnsi="宋体"/>
                <w:kern w:val="0"/>
                <w:szCs w:val="21"/>
              </w:rPr>
              <w:t>114.69</w:t>
            </w:r>
            <w:r>
              <w:rPr>
                <w:rFonts w:ascii="宋体" w:cs="宋体" w:hAnsi="宋体" w:hint="eastAsia"/>
                <w:kern w:val="0"/>
                <w:szCs w:val="21"/>
              </w:rPr>
              <w:t>万元</w:t>
            </w:r>
          </w:p>
        </w:tc>
      </w:tr>
      <w:tr>
        <w:trPr>
          <w:trHeight w:val="454"/>
        </w:trPr>
        <w:tc>
          <w:tcPr>
            <w:tcW w:w="545" w:type="dxa"/>
            <w:vAlign w:val="center"/>
          </w:tcPr>
          <w:p>
            <w:pPr>
              <w:widowControl/>
              <w:suppressAutoHyphens w:val="0"/>
              <w:jc w:val="center"/>
              <w:rPr>
                <w:rFonts w:ascii="宋体" w:cs="宋体"/>
                <w:b/>
                <w:bCs/>
                <w:color w:val="000000"/>
                <w:kern w:val="0"/>
                <w:szCs w:val="21"/>
              </w:rPr>
            </w:pPr>
            <w:r>
              <w:rPr>
                <w:rFonts w:ascii="宋体" w:cs="宋体" w:hAnsi="宋体"/>
                <w:b/>
                <w:bCs/>
                <w:color w:val="000000"/>
                <w:kern w:val="0"/>
                <w:szCs w:val="21"/>
              </w:rPr>
              <w:t>4</w:t>
            </w:r>
          </w:p>
        </w:tc>
        <w:tc>
          <w:tcPr>
            <w:tcW w:w="118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成本指标</w:t>
            </w:r>
          </w:p>
        </w:tc>
        <w:tc>
          <w:tcPr>
            <w:tcW w:w="1231"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财务管理</w:t>
            </w:r>
          </w:p>
        </w:tc>
        <w:tc>
          <w:tcPr>
            <w:tcW w:w="289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财务管理规范</w:t>
            </w:r>
          </w:p>
        </w:tc>
        <w:tc>
          <w:tcPr>
            <w:tcW w:w="177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优</w:t>
            </w:r>
          </w:p>
        </w:tc>
        <w:tc>
          <w:tcPr>
            <w:tcW w:w="7027" w:type="dxa"/>
            <w:gridSpan w:val="7"/>
            <w:vAlign w:val="center"/>
          </w:tcPr>
          <w:p>
            <w:pPr>
              <w:widowControl/>
              <w:suppressAutoHyphens w:val="0"/>
              <w:jc w:val="center"/>
              <w:rPr>
                <w:rFonts w:ascii="宋体" w:cs="宋体"/>
                <w:kern w:val="0"/>
                <w:szCs w:val="21"/>
              </w:rPr>
            </w:pPr>
            <w:r>
              <w:rPr>
                <w:rFonts w:ascii="宋体" w:cs="宋体" w:hAnsi="宋体" w:hint="eastAsia"/>
                <w:kern w:val="0"/>
                <w:szCs w:val="21"/>
              </w:rPr>
              <w:t>优</w:t>
            </w:r>
          </w:p>
        </w:tc>
      </w:tr>
      <w:tr>
        <w:trPr>
          <w:trHeight w:val="454"/>
        </w:trPr>
        <w:tc>
          <w:tcPr>
            <w:tcW w:w="545" w:type="dxa"/>
            <w:vAlign w:val="center"/>
          </w:tcPr>
          <w:p>
            <w:pPr>
              <w:widowControl/>
              <w:suppressAutoHyphens w:val="0"/>
              <w:jc w:val="center"/>
              <w:rPr>
                <w:rFonts w:ascii="宋体" w:cs="宋体"/>
                <w:b/>
                <w:bCs/>
                <w:color w:val="000000"/>
                <w:kern w:val="0"/>
                <w:szCs w:val="21"/>
              </w:rPr>
            </w:pPr>
            <w:r>
              <w:rPr>
                <w:rFonts w:ascii="宋体" w:cs="宋体" w:hAnsi="宋体"/>
                <w:b/>
                <w:bCs/>
                <w:color w:val="000000"/>
                <w:kern w:val="0"/>
                <w:szCs w:val="21"/>
              </w:rPr>
              <w:t>5</w:t>
            </w:r>
          </w:p>
        </w:tc>
        <w:tc>
          <w:tcPr>
            <w:tcW w:w="118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成本指标</w:t>
            </w:r>
          </w:p>
        </w:tc>
        <w:tc>
          <w:tcPr>
            <w:tcW w:w="1231"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资产管理</w:t>
            </w:r>
          </w:p>
        </w:tc>
        <w:tc>
          <w:tcPr>
            <w:tcW w:w="2899" w:type="dxa"/>
            <w:tcBorders>
              <w:top w:val="single" w:sz="4" w:space="0" w:color="auto"/>
              <w:left w:val="single" w:sz="4" w:space="0" w:color="auto"/>
              <w:right w:val="single" w:sz="4" w:space="0" w:color="auto"/>
            </w:tcBorders>
            <w:vAlign w:val="bottom"/>
          </w:tcPr>
          <w:p>
            <w:pPr>
              <w:widowControl/>
              <w:suppressAutoHyphens w:val="0"/>
              <w:jc w:val="center"/>
              <w:rPr>
                <w:rFonts w:ascii="宋体" w:cs="宋体"/>
                <w:color w:val="000000"/>
                <w:kern w:val="0"/>
                <w:szCs w:val="21"/>
              </w:rPr>
            </w:pPr>
            <w:r>
              <w:rPr>
                <w:rFonts w:ascii="宋体" w:cs="宋体" w:hAnsi="宋体" w:hint="eastAsia"/>
                <w:color w:val="000000"/>
                <w:kern w:val="0"/>
                <w:szCs w:val="21"/>
              </w:rPr>
              <w:t>资产配置预算偏离度</w:t>
            </w:r>
          </w:p>
        </w:tc>
        <w:tc>
          <w:tcPr>
            <w:tcW w:w="1778" w:type="dxa"/>
            <w:tcBorders>
              <w:top w:val="single" w:sz="4" w:space="0" w:color="auto"/>
              <w:left w:val="single" w:sz="4" w:space="0" w:color="auto"/>
              <w:right w:val="single" w:sz="4" w:space="0" w:color="auto"/>
            </w:tcBorders>
            <w:vAlign w:val="bottom"/>
          </w:tcPr>
          <w:p>
            <w:pPr>
              <w:widowControl/>
              <w:suppressAutoHyphens w:val="0"/>
              <w:jc w:val="center"/>
              <w:rPr>
                <w:rFonts w:ascii="宋体" w:cs="宋体"/>
                <w:color w:val="000000"/>
                <w:kern w:val="0"/>
                <w:szCs w:val="21"/>
              </w:rPr>
            </w:pPr>
            <w:r>
              <w:rPr>
                <w:rFonts w:ascii="宋体" w:cs="宋体" w:hAnsi="宋体" w:hint="eastAsia"/>
                <w:color w:val="000000"/>
                <w:kern w:val="0"/>
                <w:szCs w:val="21"/>
              </w:rPr>
              <w:t>≤</w:t>
            </w:r>
            <w:r>
              <w:rPr>
                <w:rFonts w:ascii="宋体" w:cs="宋体" w:hAnsi="宋体"/>
                <w:color w:val="000000"/>
                <w:kern w:val="0"/>
                <w:szCs w:val="21"/>
              </w:rPr>
              <w:t>4%</w:t>
            </w:r>
          </w:p>
        </w:tc>
        <w:tc>
          <w:tcPr>
            <w:tcW w:w="1147"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color w:val="000000"/>
                <w:kern w:val="0"/>
                <w:szCs w:val="21"/>
              </w:rPr>
              <w:t>4%</w:t>
            </w:r>
          </w:p>
        </w:tc>
        <w:tc>
          <w:tcPr>
            <w:tcW w:w="1960" w:type="dxa"/>
            <w:gridSpan w:val="2"/>
            <w:tcBorders>
              <w:top w:val="single" w:sz="4" w:space="0" w:color="auto"/>
              <w:left w:val="single" w:sz="4" w:space="0" w:color="auto"/>
              <w:right w:val="single" w:sz="4" w:space="0" w:color="auto"/>
            </w:tcBorders>
            <w:vAlign w:val="bottom"/>
          </w:tcPr>
          <w:p>
            <w:pPr>
              <w:widowControl/>
              <w:suppressAutoHyphens w:val="0"/>
              <w:jc w:val="left"/>
              <w:rPr>
                <w:rFonts w:ascii="宋体" w:cs="宋体"/>
                <w:kern w:val="0"/>
                <w:szCs w:val="21"/>
              </w:rPr>
            </w:pPr>
            <w:r>
              <w:rPr>
                <w:rFonts w:ascii="宋体" w:cs="宋体" w:hAnsi="宋体"/>
                <w:kern w:val="0"/>
                <w:szCs w:val="21"/>
              </w:rPr>
              <w:t>5%</w:t>
            </w:r>
          </w:p>
        </w:tc>
        <w:tc>
          <w:tcPr>
            <w:tcW w:w="1960" w:type="dxa"/>
            <w:gridSpan w:val="2"/>
            <w:tcBorders>
              <w:top w:val="single" w:sz="4" w:space="0" w:color="auto"/>
              <w:left w:val="single" w:sz="4" w:space="0" w:color="auto"/>
              <w:right w:val="single" w:sz="4" w:space="0" w:color="auto"/>
            </w:tcBorders>
            <w:vAlign w:val="bottom"/>
          </w:tcPr>
          <w:p>
            <w:pPr>
              <w:widowControl/>
              <w:suppressAutoHyphens w:val="0"/>
              <w:jc w:val="left"/>
              <w:rPr>
                <w:rFonts w:ascii="宋体" w:cs="宋体"/>
                <w:kern w:val="0"/>
                <w:szCs w:val="21"/>
              </w:rPr>
            </w:pPr>
            <w:r>
              <w:rPr>
                <w:rFonts w:ascii="宋体" w:cs="宋体" w:hAnsi="宋体"/>
                <w:kern w:val="0"/>
                <w:szCs w:val="21"/>
              </w:rPr>
              <w:t>5%</w:t>
            </w:r>
          </w:p>
        </w:tc>
        <w:tc>
          <w:tcPr>
            <w:tcW w:w="1960" w:type="dxa"/>
            <w:gridSpan w:val="2"/>
            <w:vAlign w:val="bottom"/>
          </w:tcPr>
          <w:p>
            <w:pPr>
              <w:widowControl/>
              <w:suppressAutoHyphens w:val="0"/>
              <w:jc w:val="left"/>
              <w:rPr>
                <w:rFonts w:ascii="宋体" w:cs="宋体"/>
                <w:kern w:val="0"/>
                <w:szCs w:val="21"/>
              </w:rPr>
            </w:pPr>
            <w:r>
              <w:rPr>
                <w:rFonts w:ascii="宋体" w:cs="宋体" w:hAnsi="宋体"/>
                <w:kern w:val="0"/>
                <w:szCs w:val="21"/>
              </w:rPr>
              <w:t>2%</w:t>
            </w:r>
          </w:p>
        </w:tc>
      </w:tr>
      <w:tr>
        <w:trPr>
          <w:trHeight w:val="454"/>
        </w:trPr>
        <w:tc>
          <w:tcPr>
            <w:tcW w:w="545" w:type="dxa"/>
            <w:vAlign w:val="center"/>
          </w:tcPr>
          <w:p>
            <w:pPr>
              <w:widowControl/>
              <w:suppressAutoHyphens w:val="0"/>
              <w:jc w:val="center"/>
              <w:rPr>
                <w:rFonts w:ascii="宋体" w:cs="宋体"/>
                <w:b/>
                <w:bCs/>
                <w:color w:val="000000"/>
                <w:kern w:val="0"/>
                <w:szCs w:val="21"/>
              </w:rPr>
            </w:pPr>
            <w:r>
              <w:rPr>
                <w:rFonts w:ascii="宋体" w:cs="宋体" w:hAnsi="宋体"/>
                <w:b/>
                <w:bCs/>
                <w:color w:val="000000"/>
                <w:kern w:val="0"/>
                <w:szCs w:val="21"/>
              </w:rPr>
              <w:t>6</w:t>
            </w:r>
          </w:p>
        </w:tc>
        <w:tc>
          <w:tcPr>
            <w:tcW w:w="118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成本指标</w:t>
            </w:r>
          </w:p>
        </w:tc>
        <w:tc>
          <w:tcPr>
            <w:tcW w:w="1231"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采购管理</w:t>
            </w:r>
          </w:p>
        </w:tc>
        <w:tc>
          <w:tcPr>
            <w:tcW w:w="289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采购执行率</w:t>
            </w:r>
          </w:p>
        </w:tc>
        <w:tc>
          <w:tcPr>
            <w:tcW w:w="1778"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w:t>
            </w:r>
            <w:r>
              <w:rPr>
                <w:rFonts w:ascii="宋体" w:cs="宋体" w:hAnsi="宋体"/>
                <w:color w:val="000000"/>
                <w:kern w:val="0"/>
                <w:szCs w:val="21"/>
              </w:rPr>
              <w:t>93.3%</w:t>
            </w:r>
          </w:p>
        </w:tc>
        <w:tc>
          <w:tcPr>
            <w:tcW w:w="1147"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color w:val="000000"/>
                <w:kern w:val="0"/>
                <w:szCs w:val="21"/>
              </w:rPr>
              <w:t>93%</w:t>
            </w:r>
          </w:p>
        </w:tc>
        <w:tc>
          <w:tcPr>
            <w:tcW w:w="1960" w:type="dxa"/>
            <w:gridSpan w:val="2"/>
            <w:tcBorders>
              <w:top w:val="single" w:sz="4" w:space="0" w:color="auto"/>
              <w:left w:val="single" w:sz="4" w:space="0" w:color="auto"/>
              <w:right w:val="single" w:sz="4" w:space="0" w:color="auto"/>
            </w:tcBorders>
            <w:vAlign w:val="bottom"/>
          </w:tcPr>
          <w:p>
            <w:pPr>
              <w:widowControl/>
              <w:suppressAutoHyphens w:val="0"/>
              <w:jc w:val="left"/>
              <w:rPr>
                <w:rFonts w:ascii="宋体" w:cs="宋体"/>
                <w:kern w:val="0"/>
                <w:szCs w:val="21"/>
              </w:rPr>
            </w:pPr>
            <w:r>
              <w:rPr>
                <w:rFonts w:ascii="宋体" w:cs="宋体" w:hAnsi="宋体"/>
                <w:kern w:val="0"/>
                <w:szCs w:val="21"/>
              </w:rPr>
              <w:t>100%</w:t>
            </w:r>
          </w:p>
        </w:tc>
        <w:tc>
          <w:tcPr>
            <w:tcW w:w="1960" w:type="dxa"/>
            <w:gridSpan w:val="2"/>
            <w:tcBorders>
              <w:top w:val="single" w:sz="4" w:space="0" w:color="auto"/>
              <w:left w:val="single" w:sz="4" w:space="0" w:color="auto"/>
              <w:right w:val="single" w:sz="4" w:space="0" w:color="auto"/>
            </w:tcBorders>
            <w:vAlign w:val="bottom"/>
          </w:tcPr>
          <w:p>
            <w:pPr>
              <w:widowControl/>
              <w:suppressAutoHyphens w:val="0"/>
              <w:jc w:val="left"/>
              <w:rPr>
                <w:rFonts w:ascii="宋体" w:cs="宋体"/>
                <w:kern w:val="0"/>
                <w:szCs w:val="21"/>
              </w:rPr>
            </w:pPr>
            <w:r>
              <w:rPr>
                <w:rFonts w:ascii="宋体" w:cs="宋体" w:hAnsi="宋体"/>
                <w:kern w:val="0"/>
                <w:szCs w:val="21"/>
              </w:rPr>
              <w:t>95%</w:t>
            </w:r>
          </w:p>
        </w:tc>
        <w:tc>
          <w:tcPr>
            <w:tcW w:w="1960" w:type="dxa"/>
            <w:gridSpan w:val="2"/>
            <w:vAlign w:val="bottom"/>
          </w:tcPr>
          <w:p>
            <w:pPr>
              <w:widowControl/>
              <w:suppressAutoHyphens w:val="0"/>
              <w:jc w:val="left"/>
              <w:rPr>
                <w:rFonts w:ascii="宋体" w:cs="宋体"/>
                <w:kern w:val="0"/>
                <w:szCs w:val="21"/>
              </w:rPr>
            </w:pPr>
            <w:r>
              <w:rPr>
                <w:rFonts w:ascii="宋体" w:cs="宋体" w:hAnsi="宋体"/>
                <w:kern w:val="0"/>
                <w:szCs w:val="21"/>
              </w:rPr>
              <w:t>85%</w:t>
            </w:r>
          </w:p>
        </w:tc>
      </w:tr>
      <w:tr>
        <w:trPr>
          <w:trHeight w:val="595"/>
        </w:trPr>
        <w:tc>
          <w:tcPr>
            <w:tcW w:w="14669" w:type="dxa"/>
            <w:gridSpan w:val="12"/>
            <w:vAlign w:val="center"/>
          </w:tcPr>
          <w:p>
            <w:pPr>
              <w:widowControl/>
              <w:suppressAutoHyphens w:val="0"/>
              <w:jc w:val="center"/>
              <w:rPr>
                <w:rFonts w:ascii="宋体" w:cs="宋体"/>
                <w:b/>
                <w:bCs/>
                <w:color w:val="000000"/>
                <w:kern w:val="0"/>
                <w:szCs w:val="21"/>
              </w:rPr>
            </w:pPr>
            <w:r>
              <w:rPr>
                <w:rFonts w:ascii="宋体" w:cs="宋体" w:hAnsi="宋体" w:hint="eastAsia"/>
                <w:b/>
                <w:bCs/>
                <w:color w:val="000000"/>
                <w:kern w:val="0"/>
                <w:szCs w:val="21"/>
              </w:rPr>
              <w:t>履职效能</w:t>
            </w:r>
          </w:p>
        </w:tc>
      </w:tr>
      <w:tr>
        <w:trPr>
          <w:trHeight w:val="454"/>
        </w:trPr>
        <w:tc>
          <w:tcPr>
            <w:tcW w:w="545" w:type="dxa"/>
            <w:vAlign w:val="center"/>
          </w:tcPr>
          <w:p>
            <w:pPr>
              <w:widowControl/>
              <w:suppressAutoHyphens w:val="0"/>
              <w:jc w:val="center"/>
              <w:rPr>
                <w:rFonts w:ascii="宋体" w:cs="宋体"/>
                <w:b/>
                <w:bCs/>
                <w:color w:val="000000"/>
                <w:kern w:val="0"/>
                <w:szCs w:val="21"/>
              </w:rPr>
            </w:pPr>
            <w:r>
              <w:rPr>
                <w:rFonts w:ascii="宋体" w:cs="宋体" w:hAnsi="宋体" w:hint="eastAsia"/>
                <w:b/>
                <w:bCs/>
                <w:color w:val="000000"/>
                <w:kern w:val="0"/>
                <w:szCs w:val="21"/>
              </w:rPr>
              <w:t>序号</w:t>
            </w:r>
          </w:p>
        </w:tc>
        <w:tc>
          <w:tcPr>
            <w:tcW w:w="118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一级指标</w:t>
            </w:r>
          </w:p>
        </w:tc>
        <w:tc>
          <w:tcPr>
            <w:tcW w:w="1231"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二级指标</w:t>
            </w:r>
          </w:p>
        </w:tc>
        <w:tc>
          <w:tcPr>
            <w:tcW w:w="289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三级指标</w:t>
            </w:r>
          </w:p>
        </w:tc>
        <w:tc>
          <w:tcPr>
            <w:tcW w:w="8805" w:type="dxa"/>
            <w:gridSpan w:val="8"/>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指标值（包含数字及文字描述）</w:t>
            </w:r>
          </w:p>
        </w:tc>
      </w:tr>
      <w:tr>
        <w:trPr>
          <w:trHeight w:val="454"/>
        </w:trPr>
        <w:tc>
          <w:tcPr>
            <w:tcW w:w="545" w:type="dxa"/>
            <w:vAlign w:val="center"/>
          </w:tcPr>
          <w:p>
            <w:pPr>
              <w:widowControl/>
              <w:suppressAutoHyphens w:val="0"/>
              <w:jc w:val="center"/>
              <w:rPr>
                <w:rFonts w:ascii="宋体" w:cs="宋体"/>
                <w:b/>
                <w:bCs/>
                <w:color w:val="000000"/>
                <w:kern w:val="0"/>
                <w:szCs w:val="21"/>
              </w:rPr>
            </w:pPr>
            <w:r>
              <w:rPr>
                <w:rFonts w:ascii="宋体" w:cs="宋体" w:hAnsi="宋体"/>
                <w:b/>
                <w:bCs/>
                <w:color w:val="000000"/>
                <w:kern w:val="0"/>
                <w:szCs w:val="21"/>
              </w:rPr>
              <w:t>1</w:t>
            </w:r>
          </w:p>
        </w:tc>
        <w:tc>
          <w:tcPr>
            <w:tcW w:w="118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产出指标</w:t>
            </w:r>
          </w:p>
        </w:tc>
        <w:tc>
          <w:tcPr>
            <w:tcW w:w="1231"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数量指标</w:t>
            </w:r>
          </w:p>
        </w:tc>
        <w:tc>
          <w:tcPr>
            <w:tcW w:w="289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新培育进规企业</w:t>
            </w:r>
          </w:p>
        </w:tc>
        <w:tc>
          <w:tcPr>
            <w:tcW w:w="8805" w:type="dxa"/>
            <w:gridSpan w:val="8"/>
            <w:vAlign w:val="center"/>
          </w:tcPr>
          <w:p>
            <w:pPr>
              <w:widowControl/>
              <w:suppressAutoHyphens w:val="0"/>
              <w:jc w:val="center"/>
              <w:rPr>
                <w:rFonts w:ascii="宋体" w:cs="宋体"/>
                <w:kern w:val="0"/>
                <w:szCs w:val="21"/>
              </w:rPr>
            </w:pPr>
            <w:r>
              <w:rPr>
                <w:rFonts w:ascii="宋体" w:cs="宋体" w:hAnsi="宋体" w:hint="eastAsia"/>
                <w:kern w:val="0"/>
                <w:szCs w:val="21"/>
              </w:rPr>
              <w:t>≥</w:t>
            </w:r>
            <w:r>
              <w:rPr>
                <w:rFonts w:ascii="宋体" w:cs="宋体" w:hAnsi="宋体"/>
                <w:kern w:val="0"/>
                <w:szCs w:val="21"/>
              </w:rPr>
              <w:t>50</w:t>
            </w:r>
            <w:r>
              <w:rPr>
                <w:rFonts w:ascii="宋体" w:cs="宋体" w:hAnsi="宋体" w:hint="eastAsia"/>
                <w:kern w:val="0"/>
                <w:szCs w:val="21"/>
              </w:rPr>
              <w:t>户</w:t>
            </w:r>
          </w:p>
        </w:tc>
      </w:tr>
      <w:tr>
        <w:trPr>
          <w:trHeight w:val="454"/>
        </w:trPr>
        <w:tc>
          <w:tcPr>
            <w:tcW w:w="545" w:type="dxa"/>
            <w:vAlign w:val="center"/>
          </w:tcPr>
          <w:p>
            <w:pPr>
              <w:widowControl/>
              <w:suppressAutoHyphens w:val="0"/>
              <w:jc w:val="center"/>
              <w:rPr>
                <w:rFonts w:ascii="宋体" w:cs="宋体"/>
                <w:b/>
                <w:bCs/>
                <w:color w:val="000000"/>
                <w:kern w:val="0"/>
                <w:szCs w:val="21"/>
              </w:rPr>
            </w:pPr>
            <w:r>
              <w:rPr>
                <w:rFonts w:ascii="宋体" w:cs="宋体" w:hAnsi="宋体"/>
                <w:b/>
                <w:bCs/>
                <w:color w:val="000000"/>
                <w:kern w:val="0"/>
                <w:szCs w:val="21"/>
              </w:rPr>
              <w:t>2</w:t>
            </w:r>
          </w:p>
        </w:tc>
        <w:tc>
          <w:tcPr>
            <w:tcW w:w="118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产出指标</w:t>
            </w:r>
          </w:p>
        </w:tc>
        <w:tc>
          <w:tcPr>
            <w:tcW w:w="1231"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数量指标</w:t>
            </w:r>
          </w:p>
        </w:tc>
        <w:tc>
          <w:tcPr>
            <w:tcW w:w="289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新增园区开发面积</w:t>
            </w:r>
          </w:p>
        </w:tc>
        <w:tc>
          <w:tcPr>
            <w:tcW w:w="8805" w:type="dxa"/>
            <w:gridSpan w:val="8"/>
            <w:vAlign w:val="center"/>
          </w:tcPr>
          <w:p>
            <w:pPr>
              <w:widowControl/>
              <w:suppressAutoHyphens w:val="0"/>
              <w:jc w:val="center"/>
              <w:rPr>
                <w:rFonts w:ascii="宋体" w:cs="宋体"/>
                <w:kern w:val="0"/>
                <w:szCs w:val="21"/>
              </w:rPr>
            </w:pPr>
            <w:r>
              <w:rPr>
                <w:rFonts w:ascii="宋体" w:cs="宋体" w:hAnsi="宋体"/>
                <w:kern w:val="0"/>
                <w:szCs w:val="21"/>
              </w:rPr>
              <w:t>3000</w:t>
            </w:r>
            <w:r>
              <w:rPr>
                <w:rFonts w:ascii="宋体" w:cs="宋体" w:hAnsi="宋体" w:hint="eastAsia"/>
                <w:kern w:val="0"/>
                <w:szCs w:val="21"/>
              </w:rPr>
              <w:t>亩</w:t>
            </w:r>
          </w:p>
        </w:tc>
      </w:tr>
      <w:tr>
        <w:trPr>
          <w:trHeight w:val="454"/>
        </w:trPr>
        <w:tc>
          <w:tcPr>
            <w:tcW w:w="545" w:type="dxa"/>
            <w:vAlign w:val="center"/>
          </w:tcPr>
          <w:p>
            <w:pPr>
              <w:widowControl/>
              <w:suppressAutoHyphens w:val="0"/>
              <w:jc w:val="center"/>
              <w:rPr>
                <w:rFonts w:ascii="宋体" w:cs="宋体"/>
                <w:b/>
                <w:bCs/>
                <w:color w:val="000000"/>
                <w:kern w:val="0"/>
                <w:szCs w:val="21"/>
              </w:rPr>
            </w:pPr>
            <w:r>
              <w:rPr>
                <w:rFonts w:ascii="宋体" w:cs="宋体" w:hAnsi="宋体"/>
                <w:b/>
                <w:bCs/>
                <w:color w:val="000000"/>
                <w:kern w:val="0"/>
                <w:szCs w:val="21"/>
              </w:rPr>
              <w:t>3</w:t>
            </w:r>
          </w:p>
        </w:tc>
        <w:tc>
          <w:tcPr>
            <w:tcW w:w="118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产出指标</w:t>
            </w:r>
          </w:p>
        </w:tc>
        <w:tc>
          <w:tcPr>
            <w:tcW w:w="1231"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数量指标</w:t>
            </w:r>
          </w:p>
        </w:tc>
        <w:tc>
          <w:tcPr>
            <w:tcW w:w="289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新招引项目</w:t>
            </w:r>
          </w:p>
        </w:tc>
        <w:tc>
          <w:tcPr>
            <w:tcW w:w="8805" w:type="dxa"/>
            <w:gridSpan w:val="8"/>
            <w:vAlign w:val="center"/>
          </w:tcPr>
          <w:p>
            <w:pPr>
              <w:widowControl/>
              <w:suppressAutoHyphens w:val="0"/>
              <w:jc w:val="center"/>
              <w:rPr>
                <w:rFonts w:ascii="宋体" w:cs="宋体"/>
                <w:kern w:val="0"/>
                <w:szCs w:val="21"/>
              </w:rPr>
            </w:pPr>
            <w:r>
              <w:rPr>
                <w:rFonts w:ascii="宋体" w:cs="宋体" w:hAnsi="宋体" w:hint="eastAsia"/>
                <w:kern w:val="0"/>
                <w:szCs w:val="21"/>
              </w:rPr>
              <w:t>≥</w:t>
            </w:r>
            <w:r>
              <w:rPr>
                <w:rFonts w:ascii="宋体" w:cs="宋体" w:hAnsi="宋体"/>
                <w:kern w:val="0"/>
                <w:szCs w:val="21"/>
              </w:rPr>
              <w:t>60</w:t>
            </w:r>
            <w:r>
              <w:rPr>
                <w:rFonts w:ascii="宋体" w:cs="宋体" w:hAnsi="宋体" w:hint="eastAsia"/>
                <w:kern w:val="0"/>
                <w:szCs w:val="21"/>
              </w:rPr>
              <w:t>个</w:t>
            </w:r>
          </w:p>
        </w:tc>
      </w:tr>
      <w:tr>
        <w:trPr>
          <w:trHeight w:val="454"/>
        </w:trPr>
        <w:tc>
          <w:tcPr>
            <w:tcW w:w="545" w:type="dxa"/>
            <w:vAlign w:val="center"/>
          </w:tcPr>
          <w:p>
            <w:pPr>
              <w:widowControl/>
              <w:suppressAutoHyphens w:val="0"/>
              <w:jc w:val="center"/>
              <w:rPr>
                <w:rFonts w:ascii="宋体" w:cs="宋体"/>
                <w:b/>
                <w:bCs/>
                <w:color w:val="000000"/>
                <w:kern w:val="0"/>
                <w:szCs w:val="21"/>
              </w:rPr>
            </w:pPr>
            <w:r>
              <w:rPr>
                <w:rFonts w:ascii="宋体" w:cs="宋体" w:hAnsi="宋体"/>
                <w:b/>
                <w:bCs/>
                <w:color w:val="000000"/>
                <w:kern w:val="0"/>
                <w:szCs w:val="21"/>
              </w:rPr>
              <w:t>4</w:t>
            </w:r>
          </w:p>
        </w:tc>
        <w:tc>
          <w:tcPr>
            <w:tcW w:w="118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产出指标</w:t>
            </w:r>
          </w:p>
        </w:tc>
        <w:tc>
          <w:tcPr>
            <w:tcW w:w="1231"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质量指标</w:t>
            </w:r>
          </w:p>
        </w:tc>
        <w:tc>
          <w:tcPr>
            <w:tcW w:w="289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六大优势产业产值占比</w:t>
            </w:r>
          </w:p>
        </w:tc>
        <w:tc>
          <w:tcPr>
            <w:tcW w:w="8805" w:type="dxa"/>
            <w:gridSpan w:val="8"/>
            <w:vAlign w:val="center"/>
          </w:tcPr>
          <w:p>
            <w:pPr>
              <w:widowControl/>
              <w:suppressAutoHyphens w:val="0"/>
              <w:jc w:val="center"/>
              <w:rPr>
                <w:rFonts w:ascii="宋体" w:cs="宋体"/>
                <w:kern w:val="0"/>
                <w:szCs w:val="21"/>
              </w:rPr>
            </w:pPr>
            <w:r>
              <w:rPr>
                <w:rFonts w:ascii="宋体" w:cs="宋体" w:hAnsi="宋体" w:hint="eastAsia"/>
                <w:kern w:val="0"/>
                <w:szCs w:val="21"/>
              </w:rPr>
              <w:t>≥</w:t>
            </w:r>
            <w:r>
              <w:rPr>
                <w:rFonts w:ascii="宋体" w:cs="宋体" w:hAnsi="宋体"/>
                <w:kern w:val="0"/>
                <w:szCs w:val="21"/>
              </w:rPr>
              <w:t>95%</w:t>
            </w:r>
          </w:p>
        </w:tc>
      </w:tr>
      <w:tr>
        <w:trPr>
          <w:trHeight w:val="454"/>
        </w:trPr>
        <w:tc>
          <w:tcPr>
            <w:tcW w:w="545" w:type="dxa"/>
            <w:vAlign w:val="center"/>
          </w:tcPr>
          <w:p>
            <w:pPr>
              <w:widowControl/>
              <w:suppressAutoHyphens w:val="0"/>
              <w:jc w:val="center"/>
              <w:rPr>
                <w:rFonts w:ascii="宋体" w:cs="宋体"/>
                <w:b/>
                <w:bCs/>
                <w:color w:val="000000"/>
                <w:kern w:val="0"/>
                <w:szCs w:val="21"/>
              </w:rPr>
            </w:pPr>
            <w:r>
              <w:rPr>
                <w:rFonts w:ascii="宋体" w:cs="宋体" w:hAnsi="宋体"/>
                <w:b/>
                <w:bCs/>
                <w:color w:val="000000"/>
                <w:kern w:val="0"/>
                <w:szCs w:val="21"/>
              </w:rPr>
              <w:t>5</w:t>
            </w:r>
          </w:p>
        </w:tc>
        <w:tc>
          <w:tcPr>
            <w:tcW w:w="118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产出指标</w:t>
            </w:r>
          </w:p>
        </w:tc>
        <w:tc>
          <w:tcPr>
            <w:tcW w:w="1231"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时效指标</w:t>
            </w:r>
          </w:p>
        </w:tc>
        <w:tc>
          <w:tcPr>
            <w:tcW w:w="289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整体完成时间</w:t>
            </w:r>
          </w:p>
        </w:tc>
        <w:tc>
          <w:tcPr>
            <w:tcW w:w="8805" w:type="dxa"/>
            <w:gridSpan w:val="8"/>
            <w:vAlign w:val="center"/>
          </w:tcPr>
          <w:p>
            <w:pPr>
              <w:widowControl/>
              <w:suppressAutoHyphens w:val="0"/>
              <w:jc w:val="center"/>
              <w:rPr>
                <w:rFonts w:ascii="宋体" w:cs="宋体"/>
                <w:kern w:val="0"/>
                <w:szCs w:val="21"/>
              </w:rPr>
            </w:pPr>
            <w:r>
              <w:rPr>
                <w:rFonts w:ascii="宋体" w:cs="宋体" w:hAnsi="宋体" w:hint="eastAsia"/>
                <w:kern w:val="0"/>
                <w:szCs w:val="21"/>
              </w:rPr>
              <w:t>≤</w:t>
            </w:r>
            <w:r>
              <w:rPr>
                <w:rFonts w:ascii="宋体" w:cs="宋体" w:hAnsi="宋体"/>
                <w:kern w:val="0"/>
                <w:szCs w:val="21"/>
              </w:rPr>
              <w:t>1</w:t>
            </w:r>
            <w:r>
              <w:rPr>
                <w:rFonts w:ascii="宋体" w:cs="宋体" w:hAnsi="宋体" w:hint="eastAsia"/>
                <w:kern w:val="0"/>
                <w:szCs w:val="21"/>
              </w:rPr>
              <w:t>年</w:t>
            </w:r>
          </w:p>
        </w:tc>
      </w:tr>
      <w:tr>
        <w:trPr>
          <w:trHeight w:val="454"/>
        </w:trPr>
        <w:tc>
          <w:tcPr>
            <w:tcW w:w="545" w:type="dxa"/>
            <w:vAlign w:val="center"/>
          </w:tcPr>
          <w:p>
            <w:pPr>
              <w:widowControl/>
              <w:suppressAutoHyphens w:val="0"/>
              <w:jc w:val="center"/>
              <w:rPr>
                <w:rFonts w:ascii="宋体" w:cs="宋体"/>
                <w:b/>
                <w:bCs/>
                <w:color w:val="000000"/>
                <w:kern w:val="0"/>
                <w:szCs w:val="21"/>
              </w:rPr>
            </w:pPr>
            <w:r>
              <w:rPr>
                <w:rFonts w:ascii="宋体" w:cs="宋体" w:hAnsi="宋体"/>
                <w:b/>
                <w:bCs/>
                <w:color w:val="000000"/>
                <w:kern w:val="0"/>
                <w:szCs w:val="21"/>
              </w:rPr>
              <w:t>6</w:t>
            </w:r>
          </w:p>
        </w:tc>
        <w:tc>
          <w:tcPr>
            <w:tcW w:w="118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效益指标</w:t>
            </w:r>
          </w:p>
        </w:tc>
        <w:tc>
          <w:tcPr>
            <w:tcW w:w="1231"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经济效益指标</w:t>
            </w:r>
          </w:p>
        </w:tc>
        <w:tc>
          <w:tcPr>
            <w:tcW w:w="289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实现规上工业产值</w:t>
            </w:r>
          </w:p>
        </w:tc>
        <w:tc>
          <w:tcPr>
            <w:tcW w:w="8805" w:type="dxa"/>
            <w:gridSpan w:val="8"/>
            <w:vAlign w:val="center"/>
          </w:tcPr>
          <w:p>
            <w:pPr>
              <w:widowControl/>
              <w:suppressAutoHyphens w:val="0"/>
              <w:jc w:val="center"/>
              <w:rPr>
                <w:rFonts w:ascii="宋体" w:cs="宋体"/>
                <w:kern w:val="0"/>
                <w:szCs w:val="21"/>
              </w:rPr>
            </w:pPr>
            <w:r>
              <w:rPr>
                <w:rFonts w:ascii="宋体" w:cs="宋体" w:hAnsi="宋体" w:hint="eastAsia"/>
                <w:kern w:val="0"/>
                <w:szCs w:val="21"/>
              </w:rPr>
              <w:t>≥</w:t>
            </w:r>
            <w:r>
              <w:rPr>
                <w:rFonts w:ascii="宋体" w:cs="宋体" w:hAnsi="宋体"/>
                <w:kern w:val="0"/>
                <w:szCs w:val="21"/>
              </w:rPr>
              <w:t>800</w:t>
            </w:r>
            <w:r>
              <w:rPr>
                <w:rFonts w:ascii="宋体" w:cs="宋体" w:hAnsi="宋体" w:hint="eastAsia"/>
                <w:kern w:val="0"/>
                <w:szCs w:val="21"/>
              </w:rPr>
              <w:t>亿元</w:t>
            </w:r>
          </w:p>
        </w:tc>
      </w:tr>
      <w:tr>
        <w:trPr>
          <w:trHeight w:val="454"/>
        </w:trPr>
        <w:tc>
          <w:tcPr>
            <w:tcW w:w="545" w:type="dxa"/>
            <w:vAlign w:val="center"/>
          </w:tcPr>
          <w:p>
            <w:pPr>
              <w:widowControl/>
              <w:suppressAutoHyphens w:val="0"/>
              <w:jc w:val="center"/>
              <w:rPr>
                <w:rFonts w:ascii="宋体" w:cs="宋体"/>
                <w:b/>
                <w:bCs/>
                <w:color w:val="000000"/>
                <w:kern w:val="0"/>
                <w:szCs w:val="21"/>
              </w:rPr>
            </w:pPr>
            <w:r>
              <w:rPr>
                <w:rFonts w:ascii="宋体" w:cs="宋体" w:hAnsi="宋体"/>
                <w:b/>
                <w:bCs/>
                <w:color w:val="000000"/>
                <w:kern w:val="0"/>
                <w:szCs w:val="21"/>
              </w:rPr>
              <w:t>7</w:t>
            </w:r>
          </w:p>
        </w:tc>
        <w:tc>
          <w:tcPr>
            <w:tcW w:w="118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效益指标</w:t>
            </w:r>
          </w:p>
        </w:tc>
        <w:tc>
          <w:tcPr>
            <w:tcW w:w="1231"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经济效益指标</w:t>
            </w:r>
          </w:p>
        </w:tc>
        <w:tc>
          <w:tcPr>
            <w:tcW w:w="289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实现工业投资额</w:t>
            </w:r>
          </w:p>
        </w:tc>
        <w:tc>
          <w:tcPr>
            <w:tcW w:w="8805" w:type="dxa"/>
            <w:gridSpan w:val="8"/>
            <w:vAlign w:val="center"/>
          </w:tcPr>
          <w:p>
            <w:pPr>
              <w:widowControl/>
              <w:suppressAutoHyphens w:val="0"/>
              <w:jc w:val="center"/>
              <w:rPr>
                <w:rFonts w:ascii="宋体" w:cs="宋体"/>
                <w:kern w:val="0"/>
                <w:szCs w:val="21"/>
              </w:rPr>
            </w:pPr>
            <w:r>
              <w:rPr>
                <w:rFonts w:ascii="宋体" w:cs="宋体" w:hAnsi="宋体" w:hint="eastAsia"/>
                <w:kern w:val="0"/>
                <w:szCs w:val="21"/>
              </w:rPr>
              <w:t>≥</w:t>
            </w:r>
            <w:r>
              <w:rPr>
                <w:rFonts w:ascii="宋体" w:cs="宋体" w:hAnsi="宋体"/>
                <w:kern w:val="0"/>
                <w:szCs w:val="21"/>
              </w:rPr>
              <w:t>120</w:t>
            </w:r>
            <w:r>
              <w:rPr>
                <w:rFonts w:ascii="宋体" w:cs="宋体" w:hAnsi="宋体" w:hint="eastAsia"/>
                <w:kern w:val="0"/>
                <w:szCs w:val="21"/>
              </w:rPr>
              <w:t>亿元</w:t>
            </w:r>
          </w:p>
        </w:tc>
      </w:tr>
      <w:tr>
        <w:trPr>
          <w:trHeight w:val="454"/>
        </w:trPr>
        <w:tc>
          <w:tcPr>
            <w:tcW w:w="545" w:type="dxa"/>
            <w:vAlign w:val="center"/>
          </w:tcPr>
          <w:p>
            <w:pPr>
              <w:widowControl/>
              <w:suppressAutoHyphens w:val="0"/>
              <w:jc w:val="center"/>
              <w:rPr>
                <w:rFonts w:ascii="宋体" w:cs="宋体"/>
                <w:b/>
                <w:bCs/>
                <w:color w:val="000000"/>
                <w:kern w:val="0"/>
                <w:szCs w:val="21"/>
              </w:rPr>
            </w:pPr>
            <w:r>
              <w:rPr>
                <w:rFonts w:ascii="宋体" w:cs="宋体" w:hAnsi="宋体"/>
                <w:b/>
                <w:bCs/>
                <w:color w:val="000000"/>
                <w:kern w:val="0"/>
                <w:szCs w:val="21"/>
              </w:rPr>
              <w:t>8</w:t>
            </w:r>
          </w:p>
        </w:tc>
        <w:tc>
          <w:tcPr>
            <w:tcW w:w="118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color w:val="000000"/>
                <w:kern w:val="0"/>
                <w:szCs w:val="21"/>
              </w:rPr>
            </w:pPr>
            <w:r>
              <w:rPr>
                <w:rFonts w:ascii="宋体" w:cs="宋体" w:hAnsi="宋体" w:hint="eastAsia"/>
                <w:color w:val="000000"/>
                <w:kern w:val="0"/>
                <w:szCs w:val="21"/>
              </w:rPr>
              <w:t>效益指标</w:t>
            </w:r>
          </w:p>
        </w:tc>
        <w:tc>
          <w:tcPr>
            <w:tcW w:w="1231"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社会效益指标</w:t>
            </w:r>
          </w:p>
        </w:tc>
        <w:tc>
          <w:tcPr>
            <w:tcW w:w="2899" w:type="dxa"/>
            <w:tcBorders>
              <w:top w:val="single" w:sz="4" w:space="0" w:color="auto"/>
              <w:left w:val="single" w:sz="4" w:space="0" w:color="auto"/>
              <w:right w:val="single" w:sz="4" w:space="0" w:color="auto"/>
            </w:tcBorders>
            <w:vAlign w:val="center"/>
          </w:tcPr>
          <w:p>
            <w:pPr>
              <w:widowControl/>
              <w:suppressAutoHyphens w:val="0"/>
              <w:jc w:val="center"/>
              <w:rPr>
                <w:rFonts w:ascii="宋体" w:cs="宋体"/>
                <w:kern w:val="0"/>
                <w:szCs w:val="21"/>
              </w:rPr>
            </w:pPr>
            <w:r>
              <w:rPr>
                <w:rFonts w:ascii="宋体" w:cs="宋体" w:hAnsi="宋体" w:hint="eastAsia"/>
                <w:kern w:val="0"/>
                <w:szCs w:val="21"/>
              </w:rPr>
              <w:t>增加就业人次</w:t>
            </w:r>
          </w:p>
        </w:tc>
        <w:tc>
          <w:tcPr>
            <w:tcW w:w="8805" w:type="dxa"/>
            <w:gridSpan w:val="8"/>
            <w:noWrap/>
            <w:vAlign w:val="center"/>
          </w:tcPr>
          <w:p>
            <w:pPr>
              <w:widowControl/>
              <w:suppressAutoHyphens w:val="0"/>
              <w:jc w:val="center"/>
              <w:rPr>
                <w:rFonts w:ascii="宋体" w:cs="宋体"/>
                <w:kern w:val="0"/>
                <w:szCs w:val="21"/>
              </w:rPr>
            </w:pPr>
            <w:r>
              <w:rPr>
                <w:rFonts w:ascii="宋体" w:cs="宋体" w:hAnsi="宋体" w:hint="eastAsia"/>
                <w:kern w:val="0"/>
                <w:szCs w:val="21"/>
              </w:rPr>
              <w:t>≥</w:t>
            </w:r>
            <w:r>
              <w:rPr>
                <w:rFonts w:ascii="宋体" w:cs="宋体" w:hAnsi="宋体"/>
                <w:kern w:val="0"/>
                <w:szCs w:val="21"/>
              </w:rPr>
              <w:t>500</w:t>
            </w:r>
            <w:r>
              <w:rPr>
                <w:rFonts w:ascii="宋体" w:cs="宋体" w:hAnsi="宋体" w:hint="eastAsia"/>
                <w:kern w:val="0"/>
                <w:szCs w:val="21"/>
              </w:rPr>
              <w:t>人次</w:t>
            </w:r>
          </w:p>
        </w:tc>
      </w:tr>
    </w:tbl>
    <w:p>
      <w:pPr>
        <w:spacing w:line="576" w:lineRule="exact"/>
        <w:rPr>
          <w:rFonts w:ascii="仿宋_GB2312" w:eastAsia="仿宋_GB2312" w:cs="仿宋_GB2312" w:hAnsi="仿宋_GB2312"/>
          <w:sz w:val="32"/>
          <w:szCs w:val="32"/>
        </w:rPr>
      </w:pPr>
    </w:p>
    <w:p>
      <w:pPr>
        <w:spacing w:line="576" w:lineRule="exact"/>
        <w:rPr>
          <w:rFonts w:ascii="仿宋_GB2312" w:eastAsia="仿宋_GB2312" w:cs="仿宋_GB2312" w:hAnsi="仿宋_GB2312"/>
          <w:sz w:val="32"/>
          <w:szCs w:val="32"/>
        </w:rPr>
      </w:pPr>
    </w:p>
    <w:sectPr>
      <w:pgSz w:w="16838" w:h="11906" w:orient="landscape"/>
      <w:pgMar w:top="1701" w:right="1418" w:bottom="1134" w:left="1418" w:header="720" w:footer="1134" w:gutter="0"/>
      <w:cols w:num="1" w:space="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黑体"/>
    <w:panose1 w:val="02000000000000000000"/>
    <w:charset w:val="86"/>
    <w:family w:val="auto"/>
    <w:pitch w:val="variable"/>
    <w:sig w:usb0="00000000" w:usb1="00000000" w:usb2="00000012" w:usb3="00000000" w:csb0="00040001" w:csb1="00000000"/>
  </w:font>
  <w:font w:name="仿宋_GB2312">
    <w:altName w:val="仿宋"/>
    <w:panose1 w:val="02010609030101010101"/>
    <w:charset w:val="86"/>
    <w:family w:val="modern"/>
    <w:pitch w:val="variable"/>
    <w:sig w:usb0="00000000" w:usb1="00000000" w:usb2="00000010" w:usb3="00000000" w:csb0="00040000"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楷体_GB2312">
    <w:altName w:val="楷体"/>
    <w:panose1 w:val="02010609030101010101"/>
    <w:charset w:val="86"/>
    <w:family w:val="modern"/>
    <w:pitch w:val="variable"/>
    <w:sig w:usb0="00000000" w:usb1="00000000" w:usb2="00000010" w:usb3="00000000" w:csb0="00040000" w:csb1="00000000"/>
  </w:font>
  <w:font w:name="方正楷体_GBK">
    <w:altName w:val="微软雅黑"/>
    <w:panose1 w:val="02000000000000000000"/>
    <w:charset w:val="86"/>
    <w:family w:val="script"/>
    <w:pitch w:val="variable"/>
    <w:sig w:usb0="00000000" w:usb1="00000000" w:usb2="00000000" w:usb3="00000000" w:csb0="00040000" w:csb1="00000000"/>
  </w:font>
  <w:font w:name="方正仿宋_GBK">
    <w:altName w:val="微软雅黑"/>
    <w:panose1 w:val="02000000000000000000"/>
    <w:charset w:val="86"/>
    <w:family w:val="script"/>
    <w:pitch w:val="variable"/>
    <w:sig w:usb0="00000000" w:usb1="00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Lucida Sans">
    <w:panose1 w:val="020B0602030504020204"/>
    <w:charset w:val="00"/>
    <w:family w:val="auto"/>
    <w:pitch w:val="variable"/>
    <w:sig w:usb0="00000003" w:usb1="00000000" w:usb2="00000000" w:usb3="00000000" w:csb0="20000001" w:csb1="00000000"/>
  </w:font>
  <w:font w:name="Calibri">
    <w:altName w:val="Times New Roman"/>
    <w:panose1 w:val="020F0502020204030204"/>
    <w:charset w:val="00"/>
    <w:family w:val="swiss"/>
    <w:pitch w:val="variable"/>
    <w:sig w:usb0="E4002EFF" w:usb1="C000247B" w:usb2="00000009" w:usb3="00000000" w:csb0="200001FF" w:csb1="00000000"/>
  </w:font>
  <w:font w:name="Liberation Sans">
    <w:altName w:val="Arial"/>
    <w:panose1 w:val="020B0604020202020204"/>
    <w:charset w:val="00"/>
    <w:family w:val="swiss"/>
    <w:pitch w:val="variable"/>
    <w:sig w:usb0="00000000" w:usb1="00000000" w:usb2="00000000" w:usb3="00000000" w:csb0="6000009F" w:csb1="DFD70000"/>
  </w:font>
  <w:font w:name="Noto Sans CJK SC Regular">
    <w:altName w:val="宋体"/>
    <w:panose1 w:val="020B0500000000000000"/>
    <w:charset w:val="86"/>
    <w:family w:val="auto"/>
    <w:pitch w:val="variable"/>
    <w:sig w:usb0="00000000" w:usb1="00000000" w:usb2="00000016" w:usb3="00000000" w:csb0="602E0107"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outside" w:y="1" w:anchorLock="0"/>
      <w:tabs>
        <w:tab w:val="center" w:pos="4153"/>
        <w:tab w:val="right" w:pos="8306"/>
      </w:tabs>
      <w:rPr>
        <w:rStyle w:val="22"/>
      </w:rPr>
    </w:pPr>
    <w:r>
      <w:rPr>
        <w:rStyle w:val="22"/>
      </w:rPr>
      <w:fldChar w:fldCharType="begin"/>
    </w:r>
    <w:r>
      <w:rPr>
        <w:rStyle w:val="22"/>
      </w:rPr>
      <w:instrText xml:space="preserve">PAGE  </w:instrText>
    </w:r>
    <w:r>
      <w:rPr>
        <w:rStyle w:val="22"/>
      </w:rPr>
      <w:fldChar w:fldCharType="separate"/>
    </w:r>
    <w:r>
      <w:rPr>
        <w:rStyle w:val="22"/>
      </w:rPr>
      <w:fldChar w:fldCharType="end"/>
    </w:r>
  </w:p>
  <w:p>
    <w:pPr>
      <w:pStyle w:val="17"/>
      <w:tabs>
        <w:tab w:val="center" w:pos="4153"/>
        <w:tab w:val="right" w:pos="8306"/>
      </w:tabs>
      <w:ind w:right="360" w:firstLine="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framePr w:w="0" w:hRule="auto" w:wrap="around" w:vAnchor="text" w:hAnchor="margin" w:xAlign="outside" w:y="1" w:anchorLock="0"/>
      <w:tabs>
        <w:tab w:val="center" w:pos="4153"/>
        <w:tab w:val="right" w:pos="8306"/>
      </w:tabs>
      <w:rPr>
        <w:rStyle w:val="22"/>
        <w:rFonts w:ascii="宋体"/>
        <w:sz w:val="28"/>
        <w:szCs w:val="28"/>
      </w:rPr>
    </w:pPr>
    <w:r>
      <w:rPr>
        <w:rStyle w:val="22"/>
        <w:rFonts w:ascii="宋体" w:hAnsi="宋体"/>
        <w:sz w:val="28"/>
        <w:szCs w:val="28"/>
      </w:rPr>
      <w:t xml:space="preserve">— </w:t>
    </w:r>
    <w:r>
      <w:rPr>
        <w:rStyle w:val="22"/>
        <w:rFonts w:ascii="宋体" w:hAnsi="宋体"/>
        <w:sz w:val="28"/>
        <w:szCs w:val="28"/>
      </w:rPr>
      <w:fldChar w:fldCharType="begin"/>
    </w:r>
    <w:r>
      <w:rPr>
        <w:rStyle w:val="22"/>
        <w:rFonts w:ascii="宋体" w:hAnsi="宋体"/>
        <w:sz w:val="28"/>
        <w:szCs w:val="28"/>
      </w:rPr>
      <w:instrText xml:space="preserve">PAGE  </w:instrText>
    </w:r>
    <w:r>
      <w:rPr>
        <w:rStyle w:val="22"/>
        <w:rFonts w:ascii="宋体" w:hAnsi="宋体"/>
        <w:sz w:val="28"/>
        <w:szCs w:val="28"/>
      </w:rPr>
      <w:fldChar w:fldCharType="separate"/>
    </w:r>
    <w:r>
      <w:rPr>
        <w:rStyle w:val="22"/>
        <w:rFonts w:ascii="宋体" w:hAnsi="宋体"/>
        <w:sz w:val="28"/>
        <w:szCs w:val="28"/>
      </w:rPr>
      <w:t>1</w:t>
    </w:r>
    <w:r>
      <w:rPr>
        <w:rStyle w:val="22"/>
        <w:rFonts w:ascii="宋体" w:hAnsi="宋体"/>
        <w:sz w:val="28"/>
        <w:szCs w:val="28"/>
      </w:rPr>
      <w:fldChar w:fldCharType="end"/>
    </w:r>
    <w:r>
      <w:rPr>
        <w:rStyle w:val="22"/>
        <w:rFonts w:ascii="宋体" w:hAnsi="宋体"/>
        <w:sz w:val="28"/>
        <w:szCs w:val="28"/>
      </w:rPr>
      <w:t xml:space="preserve"> —</w:t>
    </w:r>
  </w:p>
  <w:p>
    <w:pPr>
      <w:pStyle w:val="17"/>
      <w:tabs>
        <w:tab w:val="center" w:pos="4153"/>
        <w:tab w:val="right" w:pos="8306"/>
      </w:tabs>
      <w:ind w:right="360" w:firstLine="360"/>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ECE03BF"/>
    <w:multiLevelType w:val="singleLevel"/>
    <w:tmpl w:val="5ECE03BF"/>
    <w:lvl w:ilvl="0">
      <w:start w:val="1"/>
      <w:numFmt w:val="chineseCounting"/>
      <w:lvlRestart w:val="0"/>
      <w:suff w:val="space"/>
      <w:lvlText w:val="第%1部分"/>
      <w:lvlJc w:val="left"/>
      <w:pPr/>
      <w:rPr>
        <w:rFonts w:cs="Times New Roman" w:hint="eastAsia"/>
      </w:rPr>
    </w:lvl>
  </w:abstractNum>
  <w:abstractNum w:abstractNumId="1">
    <w:nsid w:val="FBB4C73A"/>
    <w:multiLevelType w:val="singleLevel"/>
    <w:tmpl w:val="FBB4C73A"/>
    <w:lvl w:ilvl="0">
      <w:start w:val="1"/>
      <w:numFmt w:val="chineseCounting"/>
      <w:lvlRestart w:val="0"/>
      <w:suff w:val="nothing"/>
      <w:lvlText w:val="%1、"/>
      <w:lvlJc w:val="left"/>
      <w:pPr/>
      <w:rPr>
        <w:rFonts w:cs="Times New Roman" w:hint="eastAsia"/>
      </w:rPr>
    </w:lvl>
  </w:abstractNum>
  <w:abstractNum w:abstractNumId="2">
    <w:nsid w:val="7B5E3AD3"/>
    <w:multiLevelType w:val="singleLevel"/>
    <w:tmpl w:val="7B5E3AD3"/>
    <w:lvl w:ilvl="0">
      <w:start w:val="1"/>
      <w:numFmt w:val="chineseCounting"/>
      <w:lvlRestart w:val="0"/>
      <w:suff w:val="nothing"/>
      <w:lvlText w:val="%1、"/>
      <w:lvlJc w:val="left"/>
      <w:pPr/>
      <w:rPr>
        <w:rFonts w:hint="eastAsia"/>
      </w:rPr>
    </w:lvl>
  </w:abstractNum>
  <w:abstractNum w:abstractNumId="3">
    <w:nsid w:val="EFCCA986"/>
    <w:multiLevelType w:val="singleLevel"/>
    <w:tmpl w:val="EFCCA986"/>
    <w:lvl w:ilvl="0">
      <w:start w:val="1"/>
      <w:numFmt w:val="chineseCounting"/>
      <w:lvlRestart w:val="0"/>
      <w:suff w:val="space"/>
      <w:lvlText w:val="第%1部分"/>
      <w:lvlJc w:val="left"/>
      <w:pPr/>
      <w:rPr>
        <w:rFonts w:ascii="方正小标宋简体" w:hAnsi="方正小标宋简体" w:eastAsia="方正小标宋简体" w:cs="方正小标宋简体" w:hint="eastAsia"/>
        <w:sz w:val="44"/>
        <w:szCs w:val="44"/>
      </w:rPr>
    </w:lvl>
  </w:abstractNum>
  <w:abstractNum w:abstractNumId="4">
    <w:nsid w:val="5BFCE1D6"/>
    <w:multiLevelType w:val="singleLevel"/>
    <w:tmpl w:val="5BFCE1D6"/>
    <w:lvl w:ilvl="0">
      <w:start w:val="2"/>
      <w:numFmt w:val="chineseCounting"/>
      <w:lvlRestart w:val="0"/>
      <w:suff w:val="nothing"/>
      <w:lvlText w:val="（%1）"/>
      <w:lvlJc w:val="left"/>
      <w:pPr/>
      <w:rPr>
        <w:rFonts w:cs="Times New Roman" w:hint="eastAsia"/>
      </w:rPr>
    </w:lvl>
  </w:abstractNum>
  <w:abstractNum w:abstractNumId="5">
    <w:nsid w:val="FE1CB008"/>
    <w:multiLevelType w:val="singleLevel"/>
    <w:tmpl w:val="FE1CB008"/>
    <w:lvl w:ilvl="0">
      <w:start w:val="7"/>
      <w:numFmt w:val="chineseCounting"/>
      <w:lvlRestart w:val="0"/>
      <w:suff w:val="nothing"/>
      <w:lvlText w:val="%1、"/>
      <w:lvlJc w:val="left"/>
      <w:pPr/>
      <w:rPr>
        <w:rFonts w:cs="Times New Roman" w:hint="eastAsia"/>
      </w:rPr>
    </w:lvl>
  </w:abstractNum>
  <w:abstractNum w:abstractNumId="6">
    <w:nsid w:val="5D1F2EEB"/>
    <w:multiLevelType w:val="singleLevel"/>
    <w:tmpl w:val="5D1F2EEB"/>
    <w:lvl w:ilvl="0">
      <w:start w:val="5"/>
      <w:numFmt w:val="chineseCounting"/>
      <w:lvlRestart w:val="0"/>
      <w:suff w:val="nothing"/>
      <w:lvlText w:val="%1、"/>
      <w:lvlJc w:val="left"/>
      <w:pPr/>
      <w:rPr>
        <w:rFonts w:cs="Times New Roman"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isplayBackgroundShape/>
  <w:bordersDoNotSurroundHeader/>
  <w:bordersDoNotSurroundFooter/>
  <w:documentProtection w:edit="readOnly" w:enforcement="0"/>
  <w:defaultTabStop w:val="420"/>
  <w:drawingGridHorizontalSpacing w:val="1"/>
  <w:drawingGridVerticalSpacing w:val="3189"/>
  <w:doNotUseMarginsForDrawingGridOrigin/>
  <w:drawingGridHorizontalOrigin w:val="0"/>
  <w:drawingGridVerticalOrigin w:val="0"/>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useAltKinsokuLineBreakRules/>
    <w:compatSetting w:name="compatibilityMode" w:uri="http://schemas.microsoft.com/office/word" w:val="14"/>
  </w:compat>
  <w:docVars>
    <w:docVar w:name="commondata" w:val="eyJoZGlkIjoiZDc5MTc1YWUzNDk5OThmNzcwNDRiNmRkMjhiZTRiMm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suppressAutoHyphens/>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caption"/>
    <w:basedOn w:val="0"/>
    <w:next w:val="0"/>
    <w:pPr>
      <w:widowControl w:val="0"/>
      <w:suppressLineNumbers/>
      <w:suppressAutoHyphens/>
      <w:spacing w:before="120" w:after="120"/>
    </w:pPr>
    <w:rPr>
      <w:i/>
      <w:iCs/>
      <w:sz w:val="24"/>
    </w:rPr>
  </w:style>
  <w:style w:type="paragraph" w:styleId="16">
    <w:name w:val="Body Text"/>
    <w:basedOn w:val="0"/>
    <w:pPr>
      <w:spacing w:after="140" w:line="276" w:lineRule="auto"/>
    </w:pPr>
  </w:style>
  <w:style w:type="paragraph" w:styleId="17">
    <w:name w:val="footer"/>
    <w:basedOn w:val="0"/>
    <w:pPr>
      <w:tabs>
        <w:tab w:val="center" w:pos="4153"/>
        <w:tab w:val="right" w:pos="8306"/>
      </w:tabs>
      <w:snapToGrid w:val="0"/>
      <w:jc w:val="left"/>
    </w:pPr>
    <w:rPr>
      <w:sz w:val="18"/>
    </w:rPr>
  </w:style>
  <w:style w:type="paragraph" w:styleId="18">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pPr>
    <w:rPr>
      <w:sz w:val="18"/>
    </w:rPr>
  </w:style>
  <w:style w:type="paragraph" w:styleId="19">
    <w:name w:val="toc 1"/>
    <w:basedOn w:val="0"/>
    <w:next w:val="0"/>
  </w:style>
  <w:style w:type="paragraph" w:styleId="20">
    <w:name w:val="List"/>
    <w:basedOn w:val="16"/>
  </w:style>
  <w:style w:type="paragraph" w:styleId="21">
    <w:name w:val="Normal (Web)"/>
    <w:basedOn w:val="0"/>
    <w:pPr>
      <w:spacing w:beforeAutospacing="1" w:afterAutospacing="1"/>
      <w:jc w:val="left"/>
    </w:pPr>
    <w:rPr>
      <w:kern w:val="0"/>
      <w:sz w:val="24"/>
    </w:rPr>
  </w:style>
  <w:style w:type="character" w:styleId="22">
    <w:name w:val="page number"/>
    <w:basedOn w:val="10"/>
    <w:rPr>
      <w:rFonts w:cs="Times New Roman"/>
    </w:rPr>
  </w:style>
  <w:style w:type="character" w:styleId="23">
    <w:name w:val="FollowedHyperlink"/>
    <w:basedOn w:val="10"/>
    <w:rPr>
      <w:rFonts w:cs="Times New Roman"/>
      <w:color w:val="800080"/>
      <w:u w:val="single"/>
    </w:rPr>
  </w:style>
  <w:style w:type="character" w:styleId="24">
    <w:name w:val="Hyperlink"/>
    <w:basedOn w:val="10"/>
    <w:rPr>
      <w:rFonts w:cs="Times New Roman"/>
      <w:color w:val="0000FF"/>
      <w:u w:val="single"/>
    </w:rPr>
  </w:style>
  <w:style w:type="character" w:customStyle="1" w:styleId="25">
    <w:name w:val="默认段落字体1"/>
  </w:style>
  <w:style w:type="paragraph" w:customStyle="1" w:styleId="26">
    <w:name w:val="Heading"/>
    <w:basedOn w:val="0"/>
    <w:next w:val="16"/>
    <w:pPr>
      <w:keepNext/>
      <w:widowControl w:val="0"/>
      <w:suppressAutoHyphens/>
      <w:spacing w:before="240" w:after="120"/>
    </w:pPr>
    <w:rPr>
      <w:rFonts w:ascii="Liberation Sans" w:eastAsia="Noto Sans CJK SC Regular" w:cs="Noto Sans CJK SC Regular" w:hAnsi="Liberation Sans"/>
      <w:sz w:val="28"/>
      <w:szCs w:val="28"/>
    </w:rPr>
  </w:style>
  <w:style w:type="paragraph" w:customStyle="1" w:styleId="27">
    <w:name w:val="Index"/>
    <w:basedOn w:val="0"/>
    <w:pPr>
      <w:widowControl w:val="0"/>
      <w:suppressLineNumbers/>
      <w:suppressAutoHyphens/>
    </w:pPr>
  </w:style>
  <w:style w:type="character" w:customStyle="1" w:styleId="28">
    <w:name w:val="font61"/>
    <w:basedOn w:val="10"/>
    <w:rPr>
      <w:rFonts w:ascii="宋体" w:eastAsia="宋体" w:cs="宋体" w:hAnsi="宋体"/>
      <w:color w:val="000000"/>
      <w:sz w:val="22"/>
      <w:szCs w:val="22"/>
      <w:u w:val="none"/>
    </w:rPr>
  </w:style>
  <w:style w:type="character" w:customStyle="1" w:styleId="29">
    <w:name w:val="font51"/>
    <w:basedOn w:val="10"/>
    <w:rPr>
      <w:rFonts w:ascii="宋体" w:eastAsia="宋体" w:cs="宋体" w:hAnsi="宋体"/>
      <w:color w:val="000000"/>
      <w:sz w:val="22"/>
      <w:szCs w:val="22"/>
      <w:u w:val="none"/>
    </w:rPr>
  </w:style>
  <w:style w:type="character" w:customStyle="1" w:styleId="30">
    <w:name w:val="font21"/>
    <w:basedOn w:val="10"/>
    <w:rPr>
      <w:rFonts w:ascii="宋体" w:eastAsia="宋体" w:cs="宋体" w:hAnsi="宋体"/>
      <w:color w:val="000000"/>
      <w:sz w:val="22"/>
      <w:szCs w:val="22"/>
      <w:u w:val="none"/>
    </w:rPr>
  </w:style>
  <w:style w:type="character" w:customStyle="1" w:styleId="31">
    <w:name w:val="font41"/>
    <w:basedOn w:val="10"/>
    <w:rPr>
      <w:rFonts w:ascii="宋体" w:eastAsia="宋体" w:cs="宋体" w:hAnsi="宋体"/>
      <w:color w:val="000000"/>
      <w:sz w:val="22"/>
      <w:szCs w:val="22"/>
      <w:u w:val="none"/>
    </w:rPr>
  </w:style>
  <w:style w:type="character" w:customStyle="1" w:styleId="32">
    <w:name w:val="15"/>
    <w:rPr>
      <w:rFonts w:ascii="Times New Roman" w:eastAsia="宋体" w:hAnsi="Times New Roman"/>
      <w:kern w:val="2"/>
      <w:sz w:val="21"/>
    </w:rPr>
  </w:style>
  <w:style w:type="paragraph" w:customStyle="1" w:styleId="33">
    <w:name w:val="font5"/>
    <w:basedOn w:val="0"/>
    <w:pPr>
      <w:widowControl/>
      <w:suppressAutoHyphens w:val="0"/>
      <w:spacing w:before="100" w:beforeAutospacing="1" w:after="100" w:afterAutospacing="1"/>
      <w:jc w:val="left"/>
    </w:pPr>
    <w:rPr>
      <w:rFonts w:ascii="Times New Roman" w:hAnsi="Times New Roman"/>
      <w:color w:val="000000"/>
      <w:kern w:val="0"/>
      <w:sz w:val="22"/>
      <w:szCs w:val="22"/>
    </w:rPr>
  </w:style>
  <w:style w:type="paragraph" w:customStyle="1" w:styleId="34">
    <w:name w:val="xl65"/>
    <w:basedOn w:val="0"/>
    <w:pPr>
      <w:widowControl/>
      <w:pBdr>
        <w:top w:val="single" w:sz="4" w:space="0" w:color="C0C0C0"/>
        <w:left w:val="single" w:sz="4" w:space="0" w:color="C0C0C0"/>
        <w:bottom w:val="single" w:sz="4" w:space="0" w:color="C0C0C0"/>
        <w:right w:val="single" w:sz="4" w:space="0" w:color="C0C0C0"/>
      </w:pBdr>
      <w:shd w:val="clear" w:color="FFFFFF" w:fill="FFFFFF"/>
      <w:suppressAutoHyphens w:val="0"/>
      <w:spacing w:before="100" w:beforeAutospacing="1" w:after="100" w:afterAutospacing="1"/>
      <w:jc w:val="center"/>
    </w:pPr>
    <w:rPr>
      <w:rFonts w:ascii="宋体" w:cs="宋体" w:hAnsi="宋体"/>
      <w:b/>
      <w:bCs/>
      <w:kern w:val="0"/>
      <w:sz w:val="24"/>
    </w:rPr>
  </w:style>
  <w:style w:type="paragraph" w:customStyle="1" w:styleId="35">
    <w:name w:val="xl66"/>
    <w:basedOn w:val="0"/>
    <w:pPr>
      <w:widowControl/>
      <w:pBdr>
        <w:top w:val="single" w:sz="4" w:space="0" w:color="C0C0C0"/>
        <w:left w:val="single" w:sz="4" w:space="0" w:color="C0C0C0"/>
        <w:bottom w:val="single" w:sz="4" w:space="0" w:color="C0C0C0"/>
        <w:right w:val="single" w:sz="4" w:space="0" w:color="C0C0C0"/>
      </w:pBdr>
      <w:suppressAutoHyphens w:val="0"/>
      <w:spacing w:before="100" w:beforeAutospacing="1" w:after="100" w:afterAutospacing="1"/>
      <w:jc w:val="center"/>
    </w:pPr>
    <w:rPr>
      <w:rFonts w:ascii="宋体" w:cs="宋体" w:hAnsi="宋体"/>
      <w:b/>
      <w:bCs/>
      <w:kern w:val="0"/>
      <w:sz w:val="24"/>
    </w:rPr>
  </w:style>
  <w:style w:type="paragraph" w:customStyle="1" w:styleId="36">
    <w:name w:val="xl67"/>
    <w:basedOn w:val="0"/>
    <w:pPr>
      <w:widowControl/>
      <w:pBdr>
        <w:top w:val="single" w:sz="4" w:space="0" w:color="C0C0C0"/>
        <w:left w:val="single" w:sz="4" w:space="0" w:color="C0C0C0"/>
        <w:bottom w:val="single" w:sz="4" w:space="0" w:color="C0C0C0"/>
        <w:right w:val="single" w:sz="4" w:space="0" w:color="C0C0C0"/>
      </w:pBdr>
      <w:suppressAutoHyphens w:val="0"/>
      <w:spacing w:before="100" w:beforeAutospacing="1" w:after="100" w:afterAutospacing="1"/>
      <w:jc w:val="right"/>
    </w:pPr>
    <w:rPr>
      <w:rFonts w:ascii="宋体" w:cs="宋体" w:hAnsi="宋体"/>
      <w:b/>
      <w:bCs/>
      <w:kern w:val="0"/>
      <w:sz w:val="24"/>
    </w:rPr>
  </w:style>
  <w:style w:type="paragraph" w:customStyle="1" w:styleId="37">
    <w:name w:val="xl68"/>
    <w:basedOn w:val="0"/>
    <w:pPr>
      <w:widowControl/>
      <w:pBdr>
        <w:top w:val="single" w:sz="4" w:space="0" w:color="C0C0C0"/>
        <w:left w:val="single" w:sz="4" w:space="0" w:color="C0C0C0"/>
        <w:bottom w:val="single" w:sz="4" w:space="0" w:color="C0C0C0"/>
        <w:right w:val="single" w:sz="4" w:space="0" w:color="C0C0C0"/>
      </w:pBdr>
      <w:suppressAutoHyphens w:val="0"/>
      <w:spacing w:before="100" w:beforeAutospacing="1" w:after="100" w:afterAutospacing="1"/>
      <w:jc w:val="right"/>
    </w:pPr>
    <w:rPr>
      <w:rFonts w:ascii="宋体" w:cs="宋体" w:hAnsi="宋体"/>
      <w:kern w:val="0"/>
      <w:sz w:val="24"/>
    </w:rPr>
  </w:style>
  <w:style w:type="paragraph" w:customStyle="1" w:styleId="38">
    <w:name w:val="xl69"/>
    <w:basedOn w:val="0"/>
    <w:pPr>
      <w:widowControl/>
      <w:pBdr>
        <w:top w:val="single" w:sz="4" w:space="0" w:color="C0C0C0"/>
        <w:left w:val="single" w:sz="4" w:space="0" w:color="C0C0C0"/>
        <w:bottom w:val="single" w:sz="4" w:space="0" w:color="C0C0C0"/>
        <w:right w:val="single" w:sz="4" w:space="0" w:color="C0C0C0"/>
      </w:pBdr>
      <w:suppressAutoHyphens w:val="0"/>
      <w:spacing w:before="100" w:beforeAutospacing="1" w:after="100" w:afterAutospacing="1"/>
      <w:jc w:val="center"/>
    </w:pPr>
    <w:rPr>
      <w:rFonts w:ascii="宋体" w:cs="宋体" w:hAnsi="宋体"/>
      <w:kern w:val="0"/>
      <w:sz w:val="24"/>
    </w:rPr>
  </w:style>
  <w:style w:type="paragraph" w:customStyle="1" w:styleId="39">
    <w:name w:val="xl70"/>
    <w:basedOn w:val="0"/>
    <w:pPr>
      <w:widowControl/>
      <w:pBdr>
        <w:top w:val="single" w:sz="4" w:space="0" w:color="C0C0C0"/>
        <w:left w:val="single" w:sz="4" w:space="0" w:color="C0C0C0"/>
        <w:bottom w:val="single" w:sz="4" w:space="0" w:color="C0C0C0"/>
        <w:right w:val="single" w:sz="4" w:space="0" w:color="C0C0C0"/>
      </w:pBdr>
      <w:suppressAutoHyphens w:val="0"/>
      <w:spacing w:before="100" w:beforeAutospacing="1" w:after="100" w:afterAutospacing="1"/>
      <w:jc w:val="left"/>
    </w:pPr>
    <w:rPr>
      <w:rFonts w:ascii="宋体" w:cs="宋体" w:hAnsi="宋体"/>
      <w:kern w:val="0"/>
      <w:sz w:val="24"/>
    </w:rPr>
  </w:style>
  <w:style w:type="paragraph" w:customStyle="1" w:styleId="40">
    <w:name w:val="xl71"/>
    <w:basedOn w:val="0"/>
    <w:pPr>
      <w:widowControl/>
      <w:pBdr>
        <w:top w:val="single" w:sz="4" w:space="0" w:color="C0C0C0"/>
        <w:left w:val="single" w:sz="4" w:space="0" w:color="C0C0C0"/>
        <w:bottom w:val="single" w:sz="4" w:space="0" w:color="C0C0C0"/>
        <w:right w:val="single" w:sz="4" w:space="0" w:color="C0C0C0"/>
      </w:pBdr>
      <w:suppressAutoHyphens w:val="0"/>
      <w:spacing w:before="100" w:beforeAutospacing="1" w:after="100" w:afterAutospacing="1"/>
      <w:jc w:val="left"/>
    </w:pPr>
    <w:rPr>
      <w:rFonts w:ascii="宋体" w:cs="宋体" w:hAnsi="宋体"/>
      <w:kern w:val="0"/>
      <w:sz w:val="24"/>
    </w:rPr>
  </w:style>
  <w:style w:type="paragraph" w:customStyle="1" w:styleId="41">
    <w:name w:val="xl72"/>
    <w:basedOn w:val="0"/>
    <w:pPr>
      <w:widowControl/>
      <w:pBdr>
        <w:top w:val="single" w:sz="4" w:space="0" w:color="C0C0C0"/>
        <w:left w:val="single" w:sz="4" w:space="0" w:color="C0C0C0"/>
        <w:bottom w:val="single" w:sz="4" w:space="0" w:color="C0C0C0"/>
        <w:right w:val="single" w:sz="4" w:space="0" w:color="C0C0C0"/>
      </w:pBdr>
      <w:suppressAutoHyphens w:val="0"/>
      <w:spacing w:before="100" w:beforeAutospacing="1" w:after="100" w:afterAutospacing="1"/>
      <w:jc w:val="center"/>
    </w:pPr>
    <w:rPr>
      <w:rFonts w:ascii="宋体" w:cs="宋体" w:hAnsi="宋体"/>
      <w:kern w:val="0"/>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customProps>
</customData>
</file>

<file path=customXml/itemProps1.xml><?xml version="1.0" encoding="utf-8"?>
<ds:datastoreItem xmlns:ds="http://schemas.openxmlformats.org/officeDocument/2006/customXml" ds:itemID="{8729CA0C-C681-4273-A2FD-EADFB57899E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22</TotalTime>
  <Application>Yozo_Office27021597764231179</Application>
  <Pages>42</Pages>
  <Words>0</Words>
  <Characters>18060</Characters>
  <Lines>0</Lines>
  <Paragraphs>281</Paragraphs>
  <CharactersWithSpaces>24081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dc:creator>
  <cp:lastModifiedBy>user</cp:lastModifiedBy>
  <cp:revision>159</cp:revision>
  <dcterms:created xsi:type="dcterms:W3CDTF">2018-12-04T17:47:00Z</dcterms:created>
  <dcterms:modified xsi:type="dcterms:W3CDTF">2025-02-13T06:54:00Z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2052-12.1.0.19770</vt:lpwstr>
  </property>
  <property fmtid="{D5CDD505-2E9C-101B-9397-08002B2CF9AE}" pid="3" name="ICV">
    <vt:lpwstr>96081F72B7444D3C8C1C7DDAED24732C_13</vt:lpwstr>
  </property>
  <property fmtid="{D5CDD505-2E9C-101B-9397-08002B2CF9AE}" pid="4" name="KSOTemplateDocerSaveRecord">
    <vt:lpwstr>eyJoZGlkIjoiZmQzMTU5NmIzMTdiYjAyM2ZjZDg3NzBhMmYyNDA5MDUiLCJ1c2VySWQiOiIxMjk3ODc3NDUxIn0=</vt:lpwstr>
  </property>
</Properties>
</file>