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0"/>
        <w:jc w:val="center"/>
        <w:rPr>
          <w:rFonts w:ascii="方正小标宋简体" w:eastAsia="方正小标宋简体" w:hint="eastAsia"/>
          <w:kern w:val="2"/>
          <w:sz w:val="44"/>
          <w:szCs w:val="44"/>
        </w:rPr>
      </w:pPr>
      <w:bookmarkStart w:id="0" w:name="_GoBack"/>
      <w:r>
        <w:rPr>
          <w:rFonts w:ascii="方正小标宋简体" w:eastAsia="方正小标宋简体" w:hint="eastAsia"/>
          <w:kern w:val="2"/>
          <w:sz w:val="44"/>
          <w:szCs w:val="44"/>
        </w:rPr>
        <w:t>广元市突破发展绿色家居产业八条政策措施（试行）</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0"/>
        <w:jc w:val="center"/>
        <w:rPr>
          <w:rFonts w:ascii="CESI宋体-GB2312" w:eastAsia="方正小标宋简体" w:hAnsi="CESI宋体-GB2312" w:hint="eastAsia"/>
          <w:b/>
          <w:bCs/>
          <w:kern w:val="2"/>
          <w:sz w:val="48"/>
          <w:szCs w:val="48"/>
        </w:rPr>
      </w:pPr>
      <w:r>
        <w:rPr>
          <w:rFonts w:ascii="楷体_GB2312" w:eastAsia="楷体_GB2312" w:hint="eastAsia"/>
          <w:kern w:val="2"/>
          <w:sz w:val="32"/>
          <w:szCs w:val="32"/>
        </w:rPr>
        <w:t>（征求意见稿）</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0"/>
        <w:jc w:val="center"/>
        <w:rPr>
          <w:rFonts w:ascii="仿宋_GB2312" w:eastAsia="仿宋_GB2312" w:hint="eastAsia"/>
          <w:kern w:val="2"/>
          <w:sz w:val="32"/>
          <w:szCs w:val="32"/>
        </w:rPr>
      </w:pPr>
      <w:bookmarkEnd w:id="0"/>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仿宋_GB2312" w:eastAsia="仿宋_GB2312" w:hint="eastAsia"/>
          <w:kern w:val="2"/>
          <w:sz w:val="32"/>
          <w:szCs w:val="32"/>
        </w:rPr>
      </w:pPr>
      <w:r>
        <w:rPr>
          <w:rFonts w:ascii="仿宋_GB2312" w:eastAsia="仿宋_GB2312" w:hint="eastAsia"/>
          <w:kern w:val="2"/>
          <w:sz w:val="32"/>
          <w:szCs w:val="32"/>
        </w:rPr>
        <w:t>为贯彻落实市委八届历次全会精神，加快推动绿色家居产业突破发展，早日实现超百亿绿色家居产业集群，建成中国西部绿色家居产业名城目标，为再造一个“工业广元”贡献家居力量，特制定以下政策措施。</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黑体" w:eastAsia="黑体" w:hint="eastAsia"/>
          <w:kern w:val="2"/>
          <w:sz w:val="32"/>
          <w:szCs w:val="32"/>
        </w:rPr>
      </w:pPr>
      <w:r>
        <w:rPr>
          <w:rFonts w:ascii="黑体" w:eastAsia="黑体" w:hint="eastAsia"/>
          <w:kern w:val="2"/>
          <w:sz w:val="32"/>
          <w:szCs w:val="32"/>
        </w:rPr>
        <w:t>一、支持项目招引</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仿宋_GB2312" w:eastAsia="仿宋_GB2312" w:hint="eastAsia"/>
          <w:kern w:val="2"/>
          <w:sz w:val="32"/>
          <w:szCs w:val="32"/>
        </w:rPr>
      </w:pPr>
      <w:r>
        <w:rPr>
          <w:rFonts w:ascii="仿宋_GB2312" w:eastAsia="仿宋_GB2312" w:hint="eastAsia"/>
          <w:kern w:val="2"/>
          <w:sz w:val="32"/>
          <w:szCs w:val="32"/>
        </w:rPr>
        <w:t>社会人士或社会机构牵头引进固定资产投资1亿元以上的家居产业链上下游项目，在该项目入驻中国西部（广元）绿色家居产业城并竣工投产后，按照固定资产投资的额度给予该牵头社会人士或社会机构一次性奖励。其中，属于4类企业（世界500强、中国企业500强、中国民营企业500强、中国制造业企业100强）直接投资的，按照项目固定资产投资的1‰给予奖励，最高不超过200万元；非4类企业直接投资的，按照项目固定资产投资的0.5‰给予奖励，最高不超过100万元。</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黑体" w:eastAsia="黑体" w:hint="eastAsia"/>
          <w:kern w:val="2"/>
          <w:sz w:val="32"/>
          <w:szCs w:val="32"/>
        </w:rPr>
      </w:pPr>
      <w:r>
        <w:rPr>
          <w:rFonts w:ascii="黑体" w:eastAsia="黑体" w:hint="eastAsia"/>
          <w:kern w:val="2"/>
          <w:sz w:val="32"/>
          <w:szCs w:val="32"/>
        </w:rPr>
        <w:t>二、支持企业协同发展</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仿宋_GB2312" w:eastAsia="仿宋_GB2312" w:hint="eastAsia"/>
          <w:color w:val="FF0000"/>
          <w:kern w:val="2"/>
          <w:sz w:val="32"/>
          <w:szCs w:val="32"/>
        </w:rPr>
      </w:pPr>
      <w:r>
        <w:rPr>
          <w:rFonts w:ascii="仿宋_GB2312" w:eastAsia="仿宋_GB2312" w:hint="eastAsia"/>
          <w:kern w:val="2"/>
          <w:sz w:val="32"/>
          <w:szCs w:val="32"/>
        </w:rPr>
        <w:t>积极支持《四川鲁丽木业有限公司以商招商配套支持政策》落地见效，对享受《四川鲁丽木业有限公司以商招商配套支持政策》的家居制造企业和四川鲁丽木业有限公司，按照双方年度板材配套业务总额的5‰分别给予双方一次性奖励，最高不超过50万元。</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黑体" w:eastAsia="黑体" w:hint="eastAsia"/>
          <w:kern w:val="2"/>
          <w:sz w:val="32"/>
          <w:szCs w:val="32"/>
        </w:rPr>
      </w:pPr>
      <w:r>
        <w:rPr>
          <w:rFonts w:ascii="黑体" w:eastAsia="黑体" w:hint="eastAsia"/>
          <w:kern w:val="2"/>
          <w:sz w:val="32"/>
          <w:szCs w:val="32"/>
        </w:rPr>
        <w:t>三、支持企业提质增效</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仿宋_GB2312" w:eastAsia="仿宋_GB2312" w:hint="eastAsia"/>
          <w:kern w:val="2"/>
          <w:sz w:val="32"/>
          <w:szCs w:val="32"/>
        </w:rPr>
      </w:pPr>
      <w:r>
        <w:rPr>
          <w:rFonts w:ascii="仿宋_GB2312" w:eastAsia="仿宋_GB2312" w:hint="eastAsia"/>
          <w:kern w:val="2"/>
          <w:sz w:val="32"/>
          <w:szCs w:val="32"/>
        </w:rPr>
        <w:t>对产值首次跨过1亿元、3亿元、5亿元台阶的家居企业，分别一次性奖励企业5万元、10万元、20万元。家居企业首次评定为四川民营企业100强或四川制造业100强的，给予100万元一次性奖励。</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黑体" w:eastAsia="黑体" w:hint="eastAsia"/>
          <w:kern w:val="2"/>
          <w:sz w:val="32"/>
          <w:szCs w:val="32"/>
        </w:rPr>
      </w:pPr>
      <w:r>
        <w:rPr>
          <w:rFonts w:ascii="黑体" w:eastAsia="黑体" w:hint="eastAsia"/>
          <w:kern w:val="2"/>
          <w:sz w:val="32"/>
          <w:szCs w:val="32"/>
        </w:rPr>
        <w:t>四、支持企业参加展会</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仿宋_GB2312" w:eastAsia="仿宋_GB2312" w:hint="eastAsia"/>
          <w:kern w:val="2"/>
          <w:sz w:val="32"/>
          <w:szCs w:val="32"/>
        </w:rPr>
      </w:pPr>
      <w:r>
        <w:rPr>
          <w:rFonts w:ascii="仿宋_GB2312" w:eastAsia="仿宋_GB2312" w:hint="eastAsia"/>
          <w:kern w:val="2"/>
          <w:sz w:val="32"/>
          <w:szCs w:val="32"/>
        </w:rPr>
        <w:t>举办广元绿色家居产业博览会、展销会，帮助家居企业提升市场占有率，扩大知名度、美誉度。鼓励广元家居企业积极参加由政府单位组织和推荐的国内外知名家居展会，扩圈展示“广元家居”品牌形象，对参展的企业，按展位费用20％的比例给予参展补贴，单个企业每年补贴最高不超过10万元。</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黑体" w:eastAsia="黑体" w:hint="eastAsia"/>
          <w:kern w:val="2"/>
          <w:sz w:val="32"/>
          <w:szCs w:val="32"/>
        </w:rPr>
      </w:pPr>
      <w:r>
        <w:rPr>
          <w:rFonts w:ascii="黑体" w:eastAsia="黑体" w:hint="eastAsia"/>
          <w:kern w:val="2"/>
          <w:sz w:val="32"/>
          <w:szCs w:val="32"/>
        </w:rPr>
        <w:t>五、支持企业绿色发展</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CESI宋体-GB2312" w:eastAsia="方正仿宋简体" w:cs="CESI宋体-GB2312" w:hAnsi="CESI宋体-GB2312" w:hint="eastAsia"/>
          <w:kern w:val="2"/>
          <w:sz w:val="34"/>
          <w:szCs w:val="34"/>
          <w:lang w:bidi="ar-SA"/>
        </w:rPr>
      </w:pPr>
      <w:r>
        <w:rPr>
          <w:rFonts w:ascii="仿宋_GB2312" w:eastAsia="仿宋_GB2312" w:hint="eastAsia"/>
          <w:kern w:val="2"/>
          <w:sz w:val="32"/>
          <w:szCs w:val="32"/>
        </w:rPr>
        <w:t>家居企业开展挥发性有机物（VOCs）治理改造或对挥发性有机物（VOCs）等环保治理设施改造升级，投入超过100万元，且治理后，非甲烷总烃（NMHC）浓度不高于20mg/m³的，给予当年实际投入15%的补贴，单</w:t>
      </w:r>
      <w:r>
        <w:rPr>
          <w:rFonts w:ascii="仿宋_GB2312" w:hint="eastAsia"/>
          <w:kern w:val="2"/>
          <w:sz w:val="32"/>
          <w:szCs w:val="32"/>
          <w:lang w:eastAsia="zh-CN"/>
        </w:rPr>
        <w:t>个</w:t>
      </w:r>
      <w:r>
        <w:rPr>
          <w:rFonts w:ascii="仿宋_GB2312" w:eastAsia="仿宋_GB2312" w:hint="eastAsia"/>
          <w:kern w:val="2"/>
          <w:sz w:val="32"/>
          <w:szCs w:val="32"/>
        </w:rPr>
        <w:t>企业累计最高不超过40万元。</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黑体" w:eastAsia="黑体" w:hint="eastAsia"/>
          <w:kern w:val="2"/>
          <w:sz w:val="32"/>
          <w:szCs w:val="32"/>
        </w:rPr>
      </w:pPr>
      <w:r>
        <w:rPr>
          <w:rFonts w:ascii="黑体" w:eastAsia="黑体" w:hint="eastAsia"/>
          <w:kern w:val="2"/>
          <w:sz w:val="32"/>
          <w:szCs w:val="32"/>
        </w:rPr>
        <w:t>六、支持降低物流成本</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仿宋_GB2312" w:eastAsia="仿宋_GB2312" w:hint="eastAsia"/>
          <w:kern w:val="2"/>
          <w:sz w:val="32"/>
          <w:szCs w:val="32"/>
        </w:rPr>
      </w:pPr>
      <w:r>
        <w:rPr>
          <w:rFonts w:ascii="仿宋_GB2312" w:eastAsia="仿宋_GB2312" w:hint="eastAsia"/>
          <w:kern w:val="2"/>
          <w:sz w:val="32"/>
          <w:szCs w:val="32"/>
        </w:rPr>
        <w:t>对家居产业城内规上家居制造类企业按其实际产值的2‰予以物流费用补贴，最高不超过50万元。对入驻川陕甘国际木材贸易中心和家居产业城昭化片区原辅材料交易中心的木材贸易企业，根据其供给市内家居企业的年度木材交易金额，给予3‰的奖励支持，最高不超过200万元。对通过西部陆海新通道铁海联运国际班列进口木材的企业，按1929元/20英尺集装箱、4710元/40英尺集装箱给予补贴。</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黑体" w:eastAsia="黑体" w:hint="eastAsia"/>
          <w:kern w:val="2"/>
          <w:sz w:val="32"/>
          <w:szCs w:val="32"/>
        </w:rPr>
      </w:pPr>
      <w:r>
        <w:rPr>
          <w:rFonts w:ascii="黑体" w:eastAsia="黑体" w:hint="eastAsia"/>
          <w:kern w:val="2"/>
          <w:sz w:val="32"/>
          <w:szCs w:val="32"/>
        </w:rPr>
        <w:t>七、支持企业融资</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仿宋_GB2312" w:eastAsia="仿宋_GB2312" w:hint="eastAsia"/>
          <w:kern w:val="2"/>
          <w:sz w:val="32"/>
          <w:szCs w:val="32"/>
        </w:rPr>
      </w:pPr>
      <w:r>
        <w:rPr>
          <w:rFonts w:ascii="仿宋_GB2312" w:eastAsia="仿宋_GB2312" w:hint="eastAsia"/>
          <w:kern w:val="2"/>
          <w:sz w:val="32"/>
          <w:szCs w:val="32"/>
        </w:rPr>
        <w:t>鼓励国有担保公司按市场化原则为家居企业在生产经营活动中所需的流动资金提供融资担保服务，按照企业所付年度担保费用的50%进行补助，单个企业每年补助资金最高不超过200万元。对固定资产投资2亿元以上的重大家居制造项目进行贴息支持，以企业在金融机构融资额为基数，按照当期基准利率的10%进行贴息，贴息期限最长不超过3年，贴息总金额最高不超过200万元。</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黑体" w:eastAsia="黑体" w:hint="eastAsia"/>
          <w:kern w:val="2"/>
          <w:sz w:val="32"/>
          <w:szCs w:val="32"/>
        </w:rPr>
      </w:pPr>
      <w:r>
        <w:rPr>
          <w:rFonts w:ascii="黑体" w:eastAsia="黑体" w:hint="eastAsia"/>
          <w:kern w:val="2"/>
          <w:sz w:val="32"/>
          <w:szCs w:val="32"/>
        </w:rPr>
        <w:t>八、支持人才培养和队伍建设</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Chars="200" w:firstLine="640"/>
        <w:jc w:val="both"/>
        <w:rPr>
          <w:rFonts w:ascii="仿宋_GB2312" w:eastAsia="仿宋_GB2312" w:hint="eastAsia"/>
          <w:kern w:val="2"/>
          <w:sz w:val="32"/>
          <w:szCs w:val="32"/>
        </w:rPr>
      </w:pPr>
      <w:r>
        <w:rPr>
          <w:rFonts w:ascii="仿宋_GB2312" w:eastAsia="仿宋_GB2312" w:hint="eastAsia"/>
          <w:kern w:val="2"/>
          <w:sz w:val="32"/>
          <w:szCs w:val="32"/>
        </w:rPr>
        <w:t>支持市内大专院校、职业院校与家居企业开展产教融合，对新开设家具设计与制造等相关专业的学校给予50万元奖励，对建成校企合作实训基地并投入使用的家居企业给予5万元奖励。对在广元连续缴纳社保满2年的家居企业副高级及以上的高级管理人才和入选广元“蜀道英才计划”及以上人才称号的高层次技术技能人才，在广元购买首套商品住房的，除享受已有财政购房补贴等政策外，按住房成交价的5%给予购房补贴，补贴资金额度按照住房面积不超过140平方米计算。</w:t>
      </w:r>
    </w:p>
    <w:p>
      <w:pPr>
        <w:spacing w:line="576" w:lineRule="exact"/>
        <w:ind w:left="0" w:firstLineChars="200" w:firstLine="640"/>
        <w:rPr>
          <w:rFonts w:ascii="仿宋_GB2312" w:eastAsia="仿宋_GB2312" w:hint="eastAsia"/>
          <w:kern w:val="2"/>
          <w:sz w:val="32"/>
          <w:szCs w:val="32"/>
        </w:rPr>
      </w:pPr>
      <w:r>
        <w:rPr>
          <w:rFonts w:ascii="仿宋_GB2312" w:eastAsia="仿宋_GB2312" w:hint="eastAsia"/>
          <w:kern w:val="2"/>
          <w:sz w:val="32"/>
          <w:szCs w:val="32"/>
        </w:rPr>
        <w:t>本措施外资企业与内资企业同等享受，所需财政奖补资金由受益财政承担。奖补资金均不含国省奖补的资金，市、县（区）另有规定的，按就高不重复的原则予以支持。措施出台后，制定配套实施细则，在市、县（区）惠企政策“一站式”窗口进行办理，政策落实情况纳入年度考核。</w:t>
      </w:r>
    </w:p>
    <w:p>
      <w:pPr>
        <w:spacing w:line="576" w:lineRule="exact"/>
        <w:ind w:left="0" w:firstLineChars="200" w:firstLine="640"/>
      </w:pPr>
      <w:r>
        <w:rPr>
          <w:rFonts w:ascii="仿宋_GB2312" w:eastAsia="仿宋_GB2312" w:hint="eastAsia"/>
          <w:kern w:val="2"/>
          <w:sz w:val="32"/>
          <w:szCs w:val="32"/>
        </w:rPr>
        <w:t>本措施由市经济和信息化局、市财政局负责解释，自X年X月X日起施行。施行期间如法律法规及相关政策有新规定的，从其规定。</w:t>
      </w:r>
    </w:p>
    <w:p/>
    <w:sectPr>
      <w:footerReference w:type="default" r:id="rId2"/>
      <w:pgSz w:w="11907" w:h="16840"/>
      <w:pgMar w:top="2098" w:right="1474" w:bottom="1985" w:left="1588" w:header="851" w:footer="1417" w:gutter="0"/>
      <w:pgNumType w:start="1"/>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auto"/>
    <w:pitch w:val="variable"/>
    <w:sig w:usb0="00000001" w:usb1="080E0000" w:usb2="00000000" w:usb3="00000000" w:csb0="00040000" w:csb1="00000000"/>
  </w:font>
  <w:font w:name="方正小标宋简体">
    <w:panose1 w:val="03000509000000000000"/>
    <w:charset w:val="86"/>
    <w:family w:val="script"/>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CESI宋体-GB2312">
    <w:panose1 w:val="02000500000000000000"/>
    <w:charset w:val="86"/>
    <w:family w:val="script"/>
    <w:pitch w:val="variable"/>
    <w:sig w:usb0="800002AF" w:usb1="08476CF8" w:usb2="00000010" w:usb3="00000000" w:csb0="0004000F" w:csb1="00000000"/>
  </w:font>
  <w:font w:name="黑体">
    <w:panose1 w:val="02010609060101010101"/>
    <w:charset w:val="86"/>
    <w:family w:val="auto"/>
    <w:pitch w:val="variable"/>
    <w:sig w:usb0="800002BF" w:usb1="38CF7CFA" w:usb2="00000016" w:usb3="00000000" w:csb0="00040001" w:csb1="00000000"/>
  </w:font>
  <w:font w:name="方正仿宋简体">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panose1 w:val="00000000000000000000"/>
    <w:charset w:val="00"/>
    <w:family w:val="auto"/>
    <w:pitch w:val="variable"/>
    <w:sig w:usb0="00000000" w:usb1="00000000" w:usb2="00000000" w:usb3="00000000" w:csb0="00000000" w:csb1="00000000"/>
  </w:font>
  <w:font w:name="文泉驿微米黑">
    <w:panose1 w:val="020B0606030804020204"/>
    <w:charset w:val="86"/>
    <w:family w:val="auto"/>
    <w:pitch w:val="variable"/>
    <w:sig w:usb0="E10002EF" w:usb1="6BDFFCFB" w:usb2="00800036" w:usb3="00000000" w:csb0="603E01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645769" cy="230251"/>
              <wp:effectExtent l="0" t="0" r="0" b="0"/>
              <wp:wrapNone/>
              <wp:docPr id="1" name="_x0000_s2050"/>
              <wp:cNvGraphicFramePr>
                <a:graphicFrameLocks noChangeAspect="0"/>
              </wp:cNvGraphicFramePr>
              <a:graphic>
                <a:graphicData uri="http://schemas.microsoft.com/office/word/2010/wordprocessingShape">
                  <wps:wsp>
                    <wps:cNvSpPr/>
                    <wps:spPr>
                      <a:xfrm rot="0">
                        <a:off x="0" y="0"/>
                        <a:ext cx="645769" cy="230251"/>
                      </a:xfrm>
                      <a:prstGeom prst="rect"/>
                      <a:noFill/>
                      <a:ln w="9525" cmpd="sng" cap="flat">
                        <a:noFill/>
                        <a:prstDash val="solid"/>
                        <a:miter/>
                      </a:ln>
                    </wps:spPr>
                    <wps:txbx id="2">
                      <w:txbxContent>
                        <w:p>
                          <w:pPr>
                            <w:pStyle w:val="33"/>
                            <w:tabs>
                              <w:tab w:val="center" w:pos="4153"/>
                              <w:tab w:val="right" w:pos="8306"/>
                            </w:tabs>
                            <w:rPr>
                              <w:rFonts w:eastAsia="仿宋_GB2312" w:hint="eastAsia"/>
                              <w:sz w:val="28"/>
                              <w:szCs w:val="36"/>
                              <w:lang w:val="en-US" w:eastAsia="zh-CN"/>
                            </w:rPr>
                          </w:pPr>
                          <w:r>
                            <w:rPr>
                              <w:rFonts w:hint="eastAsia"/>
                              <w:sz w:val="28"/>
                              <w:szCs w:val="36"/>
                              <w:lang w:eastAsia="zh-CN"/>
                            </w:rPr>
                            <w:t>—</w:t>
                          </w:r>
                          <w:r>
                            <w:rPr>
                              <w:rFonts w:hint="eastAsia"/>
                              <w:sz w:val="28"/>
                              <w:szCs w:val="36"/>
                              <w:lang w:val="en-US" w:eastAsia="zh-CN"/>
                            </w:rPr>
                            <w:t xml:space="preserve"> </w:t>
                          </w:r>
                          <w:r>
                            <w:rPr>
                              <w:sz w:val="28"/>
                              <w:szCs w:val="36"/>
                            </w:rPr>
                            <w:fldChar w:fldCharType="begin"/>
                          </w:r>
                          <w:r>
                            <w:rPr>
                              <w:sz w:val="28"/>
                              <w:szCs w:val="36"/>
                            </w:rPr>
                            <w:instrText xml:space="preserve"> PAGE  \* MERGEFORMAT </w:instrText>
                          </w:r>
                          <w:r>
                            <w:rPr>
                              <w:sz w:val="28"/>
                              <w:szCs w:val="36"/>
                            </w:rPr>
                            <w:fldChar w:fldCharType="separate"/>
                          </w:r>
                          <w:r>
                            <w:rPr>
                              <w:sz w:val="28"/>
                              <w:szCs w:val="36"/>
                            </w:rPr>
                            <w:t>1</w:t>
                          </w:r>
                          <w:r>
                            <w:rPr>
                              <w:sz w:val="28"/>
                              <w:szCs w:val="36"/>
                            </w:rPr>
                            <w:fldChar w:fldCharType="end"/>
                          </w:r>
                          <w:r>
                            <w:rPr>
                              <w:rFonts w:hint="eastAsia"/>
                              <w:sz w:val="28"/>
                              <w:szCs w:val="36"/>
                              <w:lang w:val="en-US" w:eastAsia="zh-CN"/>
                            </w:rPr>
                            <w:t xml:space="preserve"> —</w:t>
                          </w:r>
                        </w:p>
                      </w:txbxContent>
                    </wps:txbx>
                    <wps:bodyPr vert="horz" wrap="none" lIns="0" tIns="0" rIns="0" bIns="0" anchor="t" anchorCtr="0" upright="1">
                      <a:spAutoFit/>
                    </wps:bodyPr>
                  </wps:wsp>
                </a:graphicData>
              </a:graphic>
            </wp:anchor>
          </w:drawing>
        </mc:Choice>
        <mc:Fallback>
          <w:pict>
            <v:shape type="#_x0000_t202" id="_x0000_s2050 3" o:spid="_x0000_s3" filled="f" stroked="f" style="position:absolute;margin-left:0.0pt;margin-top:0.0pt;width:50.848003pt;height:18.130003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33"/>
                      <w:tabs>
                        <w:tab w:val="center" w:pos="4153"/>
                        <w:tab w:val="right" w:pos="8306"/>
                      </w:tabs>
                      <w:rPr>
                        <w:rFonts w:eastAsia="仿宋_GB2312" w:hint="eastAsia"/>
                        <w:sz w:val="28"/>
                        <w:szCs w:val="36"/>
                        <w:lang w:val="en-US" w:eastAsia="zh-CN"/>
                      </w:rPr>
                    </w:pPr>
                    <w:r>
                      <w:rPr>
                        <w:rFonts w:hint="eastAsia"/>
                        <w:sz w:val="28"/>
                        <w:szCs w:val="36"/>
                        <w:lang w:eastAsia="zh-CN"/>
                      </w:rPr>
                      <w:t>—</w:t>
                    </w:r>
                    <w:r>
                      <w:rPr>
                        <w:rFonts w:hint="eastAsia"/>
                        <w:sz w:val="28"/>
                        <w:szCs w:val="36"/>
                        <w:lang w:val="en-US" w:eastAsia="zh-CN"/>
                      </w:rPr>
                      <w:t xml:space="preserve"> </w:t>
                    </w:r>
                    <w:r>
                      <w:rPr>
                        <w:sz w:val="28"/>
                        <w:szCs w:val="36"/>
                      </w:rPr>
                      <w:fldChar w:fldCharType="begin"/>
                    </w:r>
                    <w:r>
                      <w:rPr>
                        <w:sz w:val="28"/>
                        <w:szCs w:val="36"/>
                      </w:rPr>
                      <w:instrText xml:space="preserve"> PAGE  \* MERGEFORMAT </w:instrText>
                    </w:r>
                    <w:r>
                      <w:rPr>
                        <w:sz w:val="28"/>
                        <w:szCs w:val="36"/>
                      </w:rPr>
                      <w:fldChar w:fldCharType="separate"/>
                    </w:r>
                    <w:r>
                      <w:rPr>
                        <w:sz w:val="28"/>
                        <w:szCs w:val="36"/>
                      </w:rPr>
                      <w:t>1</w:t>
                    </w:r>
                    <w:r>
                      <w:rPr>
                        <w:sz w:val="28"/>
                        <w:szCs w:val="36"/>
                      </w:rPr>
                      <w:fldChar w:fldCharType="end"/>
                    </w:r>
                    <w:r>
                      <w:rPr>
                        <w:rFonts w:hint="eastAsia"/>
                        <w:sz w:val="28"/>
                        <w:szCs w:val="36"/>
                        <w:lang w:val="en-US" w:eastAsia="zh-CN"/>
                      </w:rPr>
                      <w:t xml:space="preserve">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仿宋_GB2312" w:cs="文泉驿微米黑" w:hAnsi="Calibri"/>
      <w:snapToGrid/>
      <w:color w:val="auto"/>
      <w:spacing w:val="0"/>
      <w:w w:val="100"/>
      <w:kern w:val="2"/>
      <w:position w:val="0"/>
      <w:sz w:val="21"/>
      <w:szCs w:val="21"/>
      <w:u w:val="none" w:color="auto"/>
      <w:vertAlign w:val="baseline"/>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33">
    <w:name w:val="footer"/>
    <w:basedOn w:val="0"/>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Calibri" w:eastAsia="仿宋_GB2312" w:cs="文泉驿微米黑" w:hAnsi="Calibri"/>
      <w:snapToGrid/>
      <w:color w:val="auto"/>
      <w:spacing w:val="0"/>
      <w:w w:val="100"/>
      <w:kern w:val="2"/>
      <w:position w:val="0"/>
      <w:sz w:val="18"/>
      <w:szCs w:val="21"/>
      <w:u w:val="none" w:color="auto"/>
      <w:vertAlign w:val="baseli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91B04AC-2F9D-46A4-AFF8-D4E0485E335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4</Pages>
  <Words>0</Words>
  <Characters>1243</Characters>
  <Lines>0</Lines>
  <Paragraphs>23</Paragraphs>
  <CharactersWithSpaces>1658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2025-05-30T06:37:34Z</dcterms:created>
  <dcterms:modified xsi:type="dcterms:W3CDTF">2025-05-30T06:37:58Z</dcterms:modified>
</cp:coreProperties>
</file>