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suppressAutoHyphens/>
        <w:kinsoku/>
        <w:overflowPunct/>
        <w:topLinePunct w:val="0"/>
        <w:autoSpaceDE/>
        <w:autoSpaceDN/>
        <w:bidi w:val="0"/>
        <w:adjustRightInd/>
        <w:snapToGrid/>
        <w:spacing w:line="576" w:lineRule="exact"/>
        <w:ind w:left="0"/>
        <w:jc w:val="left"/>
        <w:textAlignment w:val="auto"/>
        <w:rPr>
          <w:rFonts w:ascii="黑体" w:eastAsia="黑体" w:cs="黑体" w:hint="eastAsia"/>
          <w:color w:val="000000"/>
          <w:sz w:val="32"/>
          <w:szCs w:val="32"/>
          <w:lang w:bidi="ar-SA"/>
        </w:rPr>
      </w:pPr>
      <w:r>
        <w:rPr>
          <w:rFonts w:ascii="黑体" w:eastAsia="黑体" w:cs="黑体" w:hint="eastAsia"/>
          <w:color w:val="000000"/>
          <w:sz w:val="32"/>
          <w:szCs w:val="32"/>
          <w:lang w:bidi="ar-SA"/>
        </w:rPr>
        <w:t>附件</w:t>
      </w:r>
    </w:p>
    <w:p>
      <w:pPr>
        <w:keepNext w:val="0"/>
        <w:keepLines w:val="0"/>
        <w:pageBreakBefore w:val="0"/>
        <w:widowControl w:val="0"/>
        <w:suppressAutoHyphens/>
        <w:kinsoku/>
        <w:overflowPunct/>
        <w:topLinePunct w:val="0"/>
        <w:autoSpaceDE/>
        <w:autoSpaceDN/>
        <w:bidi w:val="0"/>
        <w:adjustRightInd/>
        <w:snapToGrid/>
        <w:spacing w:line="576" w:lineRule="exact"/>
        <w:ind w:left="0"/>
        <w:jc w:val="left"/>
        <w:textAlignment w:val="auto"/>
        <w:rPr>
          <w:rFonts w:ascii="黑体" w:eastAsia="黑体" w:cs="黑体" w:hint="eastAsia"/>
          <w:color w:val="000000"/>
          <w:sz w:val="32"/>
          <w:szCs w:val="32"/>
          <w:lang w:bidi="ar-SA"/>
        </w:rPr>
      </w:pPr>
    </w:p>
    <w:p>
      <w:pPr>
        <w:keepNext w:val="0"/>
        <w:keepLines w:val="0"/>
        <w:pageBreakBefore w:val="0"/>
        <w:widowControl w:val="0"/>
        <w:suppressAutoHyphens/>
        <w:kinsoku/>
        <w:wordWrap/>
        <w:overflowPunct/>
        <w:topLinePunct w:val="0"/>
        <w:autoSpaceDE/>
        <w:autoSpaceDN/>
        <w:bidi w:val="0"/>
        <w:adjustRightInd/>
        <w:snapToGrid/>
        <w:spacing w:line="576" w:lineRule="exact"/>
        <w:jc w:val="center"/>
        <w:textAlignment w:val="auto"/>
        <w:rPr>
          <w:rFonts w:ascii="方正小标宋简体" w:eastAsia="方正小标宋简体" w:hint="eastAsia"/>
          <w:color w:val="000000"/>
          <w:sz w:val="44"/>
          <w:szCs w:val="44"/>
        </w:rPr>
      </w:pPr>
      <w:bookmarkStart w:id="0" w:name="_GoBack"/>
      <w:r>
        <w:rPr>
          <w:rFonts w:ascii="方正小标宋简体" w:eastAsia="方正小标宋简体" w:hint="eastAsia"/>
          <w:color w:val="000000"/>
          <w:sz w:val="44"/>
          <w:szCs w:val="44"/>
        </w:rPr>
        <w:t>广元市加快“百企千亿”中国绿色铝都建设</w:t>
      </w:r>
    </w:p>
    <w:p>
      <w:pPr>
        <w:keepNext w:val="0"/>
        <w:keepLines w:val="0"/>
        <w:pageBreakBefore w:val="0"/>
        <w:widowControl w:val="0"/>
        <w:suppressAutoHyphens/>
        <w:kinsoku/>
        <w:wordWrap/>
        <w:overflowPunct/>
        <w:topLinePunct w:val="0"/>
        <w:autoSpaceDE/>
        <w:autoSpaceDN/>
        <w:bidi w:val="0"/>
        <w:adjustRightInd/>
        <w:snapToGrid/>
        <w:spacing w:line="576" w:lineRule="exact"/>
        <w:jc w:val="center"/>
        <w:textAlignment w:val="auto"/>
        <w:rPr>
          <w:rFonts w:ascii="方正小标宋简体" w:eastAsia="方正小标宋简体" w:hint="eastAsia"/>
          <w:color w:val="000000"/>
          <w:sz w:val="44"/>
          <w:szCs w:val="44"/>
        </w:rPr>
      </w:pPr>
      <w:r>
        <w:rPr>
          <w:rFonts w:ascii="方正小标宋简体" w:eastAsia="方正小标宋简体" w:hint="eastAsia"/>
          <w:color w:val="000000"/>
          <w:sz w:val="44"/>
          <w:szCs w:val="44"/>
        </w:rPr>
        <w:t>十条政策措施（</w:t>
      </w:r>
      <w:r>
        <w:rPr>
          <w:rFonts w:ascii="方正小标宋简体" w:eastAsia="方正小标宋简体" w:hint="eastAsia"/>
          <w:color w:val="000000"/>
          <w:sz w:val="44"/>
          <w:szCs w:val="44"/>
          <w:lang w:val="en-US" w:eastAsia="zh-CN"/>
        </w:rPr>
        <w:t>修订</w:t>
      </w:r>
      <w:r>
        <w:rPr>
          <w:rFonts w:ascii="方正小标宋简体" w:eastAsia="方正小标宋简体" w:hint="eastAsia"/>
          <w:color w:val="000000"/>
          <w:sz w:val="44"/>
          <w:szCs w:val="44"/>
        </w:rPr>
        <w:t>）</w:t>
      </w:r>
    </w:p>
    <w:p>
      <w:pPr>
        <w:pStyle w:val="7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Chars="0" w:left="0" w:firstLineChars="0" w:firstLine="0"/>
        <w:jc w:val="center"/>
        <w:textAlignment w:val="auto"/>
        <w:rPr>
          <w:rFonts w:hint="eastAsia"/>
        </w:rPr>
      </w:pPr>
      <w:r>
        <w:rPr>
          <w:rFonts w:ascii="楷体_GB2312" w:eastAsia="楷体_GB2312" w:cs="Arial" w:hint="eastAsia"/>
          <w:kern w:val="2"/>
          <w:sz w:val="32"/>
          <w:szCs w:val="32"/>
          <w:lang w:bidi="ar-SA"/>
        </w:rPr>
        <w:t>（</w:t>
      </w:r>
      <w:r>
        <w:rPr>
          <w:rFonts w:ascii="楷体_GB2312" w:eastAsia="楷体_GB2312" w:cs="Arial" w:hint="eastAsia"/>
          <w:kern w:val="2"/>
          <w:sz w:val="32"/>
          <w:szCs w:val="32"/>
          <w:lang w:eastAsia="zh-CN" w:bidi="ar-SA"/>
        </w:rPr>
        <w:t>征求意见稿</w:t>
      </w:r>
      <w:r>
        <w:rPr>
          <w:rFonts w:ascii="楷体_GB2312" w:eastAsia="楷体_GB2312" w:cs="Arial" w:hint="eastAsia"/>
          <w:kern w:val="2"/>
          <w:sz w:val="32"/>
          <w:szCs w:val="32"/>
          <w:lang w:bidi="ar-SA"/>
        </w:rPr>
        <w:t>）</w:t>
      </w:r>
    </w:p>
    <w:p>
      <w:pPr>
        <w:pStyle w:val="7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Chars="0" w:left="420"/>
        <w:textAlignment w:val="auto"/>
        <w:rPr>
          <w:color w:val="000000"/>
          <w:sz w:val="32"/>
          <w:szCs w:val="32"/>
        </w:rPr>
      </w:pPr>
      <w:bookmarkEnd w:id="0"/>
    </w:p>
    <w:p>
      <w:pPr>
        <w:keepNext w:val="0"/>
        <w:keepLines w:val="0"/>
        <w:pageBreakBefore w:val="0"/>
        <w:widowControl w:val="0"/>
        <w:suppressAutoHyphens/>
        <w:kinsoku/>
        <w:wordWrap/>
        <w:overflowPunct/>
        <w:topLinePunct w:val="0"/>
        <w:autoSpaceDE/>
        <w:autoSpaceDN/>
        <w:bidi w:val="0"/>
        <w:adjustRightInd/>
        <w:snapToGrid/>
        <w:spacing w:line="576" w:lineRule="exact"/>
        <w:ind w:firstLineChars="200" w:firstLine="640"/>
        <w:jc w:val="both"/>
        <w:textAlignment w:val="auto"/>
        <w:rPr>
          <w:rFonts w:ascii="仿宋_GB2312" w:eastAsia="仿宋_GB2312" w:hint="eastAsia"/>
          <w:color w:val="000000"/>
          <w:spacing w:val="0"/>
          <w:sz w:val="32"/>
          <w:szCs w:val="32"/>
        </w:rPr>
      </w:pPr>
      <w:r>
        <w:rPr>
          <w:rFonts w:ascii="黑体" w:eastAsia="黑体" w:hint="eastAsia"/>
          <w:color w:val="auto"/>
          <w:sz w:val="32"/>
          <w:szCs w:val="32"/>
          <w:u w:val="none"/>
        </w:rPr>
        <w:t>一、支持补链强链。</w:t>
      </w:r>
      <w:r>
        <w:rPr>
          <w:rFonts w:ascii="仿宋_GB2312" w:eastAsia="仿宋_GB2312" w:hint="eastAsia"/>
          <w:color w:val="000000"/>
          <w:spacing w:val="0"/>
          <w:sz w:val="32"/>
          <w:szCs w:val="32"/>
        </w:rPr>
        <w:t>对新、改、扩建且符合铝基新材料产业发展规划属汽摩轻量化、高端铝箔、再生铝保级利用、电线电缆、</w:t>
      </w:r>
      <w:r>
        <w:rPr>
          <w:rFonts w:ascii="仿宋_GB2312" w:eastAsia="仿宋_GB2312" w:hint="eastAsia"/>
          <w:color w:val="000000"/>
          <w:spacing w:val="0"/>
          <w:sz w:val="32"/>
          <w:szCs w:val="32"/>
          <w:lang w:val="en-US" w:eastAsia="zh-CN"/>
        </w:rPr>
        <w:t>高性能铝合金</w:t>
      </w:r>
      <w:r>
        <w:rPr>
          <w:rFonts w:ascii="仿宋_GB2312" w:eastAsia="仿宋_GB2312" w:hint="eastAsia"/>
          <w:color w:val="000000"/>
          <w:spacing w:val="0"/>
          <w:sz w:val="32"/>
          <w:szCs w:val="32"/>
        </w:rPr>
        <w:t>（轨道交通、航空航天、光伏等）、铝制家居、3C电子产品等涉铝精深加工领域的项目，按新购置大型设备投资额的5%给予奖补资金，最高不超过1000万元。对现有企业实施关键核心设备和平台系统数字化、网络化、智能化等升级改造且总投资额不低于500万元的，按项目新购置设备或新建立平台投资额的5%给予奖补资金，最高不超过200万元。</w:t>
      </w:r>
    </w:p>
    <w:p>
      <w:pPr>
        <w:pStyle w:val="133"/>
        <w:keepNext w:val="0"/>
        <w:keepLines w:val="0"/>
        <w:pageBreakBefore w:val="0"/>
        <w:widowControl w:val="0"/>
        <w:kinsoku/>
        <w:wordWrap/>
        <w:overflowPunct/>
        <w:topLinePunct w:val="0"/>
        <w:autoSpaceDE/>
        <w:autoSpaceDN/>
        <w:bidi w:val="0"/>
        <w:adjustRightInd/>
        <w:snapToGrid/>
        <w:spacing w:line="576" w:lineRule="exact"/>
        <w:ind w:firstLineChars="200" w:firstLine="640"/>
        <w:jc w:val="both"/>
        <w:textAlignment w:val="auto"/>
        <w:rPr>
          <w:rFonts w:ascii="仿宋_GB2312" w:eastAsia="仿宋_GB2312" w:cs="Lucida Sans" w:hint="eastAsia"/>
          <w:b w:val="0"/>
          <w:bCs w:val="0"/>
          <w:color w:val="000000"/>
          <w:spacing w:val="0"/>
          <w:kern w:val="2"/>
          <w:sz w:val="32"/>
          <w:szCs w:val="32"/>
          <w:lang w:val="en-US" w:eastAsia="zh-CN" w:bidi="ar-SA"/>
        </w:rPr>
      </w:pPr>
      <w:r>
        <w:rPr>
          <w:rFonts w:ascii="黑体" w:eastAsia="黑体" w:cs="Times New Roman" w:hint="eastAsia"/>
          <w:b w:val="0"/>
          <w:bCs w:val="0"/>
          <w:color w:val="auto"/>
          <w:sz w:val="32"/>
          <w:szCs w:val="32"/>
          <w:u w:val="none"/>
          <w:lang w:bidi="ar-SA"/>
        </w:rPr>
        <w:t>二、支持提能升级。</w:t>
      </w:r>
      <w:r>
        <w:rPr>
          <w:rFonts w:ascii="仿宋_GB2312" w:eastAsia="仿宋_GB2312" w:cs="Lucida Sans" w:hint="eastAsia"/>
          <w:b w:val="0"/>
          <w:bCs w:val="0"/>
          <w:color w:val="000000"/>
          <w:spacing w:val="0"/>
          <w:kern w:val="2"/>
          <w:sz w:val="32"/>
          <w:szCs w:val="32"/>
          <w:lang w:val="en-US" w:eastAsia="zh-CN" w:bidi="ar-SA"/>
        </w:rPr>
        <w:t>对年度产值首次跨过10亿元、20亿元、50亿元、100亿元台阶的企业，分别给予10万元、30万元、100万元、250万元奖励。对新认定四川省民营企业100强、制造业企业100强的企业，给予100万元奖励。对新认定国家、省级智能工厂和数字化车间的企业，分别给予100万元、50万元奖励；对新入选国家、省级工业互联网、智能制造、5G应用等领域典型案例、示范项目的企业，分别给予20万元、10万元奖励。鼓励企业引进技术消化吸收再创新，鼓励本地企业向加工贸易类企业转型升级，鼓励外地加工贸易企业落地广元，对符合条件的加工贸易企业给予最高20万元资金补助。</w:t>
      </w:r>
    </w:p>
    <w:p>
      <w:pPr>
        <w:pStyle w:val="7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Chars="0" w:left="0" w:firstLineChars="200" w:firstLine="640"/>
        <w:jc w:val="both"/>
        <w:textAlignment w:val="auto"/>
        <w:rPr>
          <w:rFonts w:ascii="仿宋_GB2312" w:eastAsia="仿宋_GB2312" w:cs="Lucida Sans" w:hint="eastAsia"/>
          <w:color w:val="000000"/>
          <w:spacing w:val="0"/>
          <w:kern w:val="2"/>
          <w:sz w:val="32"/>
          <w:szCs w:val="32"/>
          <w:lang w:val="en-US" w:eastAsia="zh-CN" w:bidi="ar-SA"/>
        </w:rPr>
      </w:pPr>
      <w:r>
        <w:rPr>
          <w:rFonts w:ascii="黑体" w:eastAsia="黑体" w:hint="eastAsia"/>
          <w:color w:val="auto"/>
          <w:sz w:val="32"/>
          <w:szCs w:val="32"/>
          <w:u w:val="none"/>
        </w:rPr>
        <w:t>三、支持外铝入广。</w:t>
      </w:r>
      <w:r>
        <w:rPr>
          <w:rFonts w:ascii="仿宋_GB2312" w:eastAsia="仿宋_GB2312" w:cs="Lucida Sans" w:hint="eastAsia"/>
          <w:color w:val="000000"/>
          <w:spacing w:val="0"/>
          <w:kern w:val="2"/>
          <w:sz w:val="32"/>
          <w:szCs w:val="32"/>
          <w:lang w:val="en-US" w:eastAsia="zh-CN" w:bidi="ar-SA"/>
        </w:rPr>
        <w:t>我市企业自行通过铁海联运或铁路运输方式进口铝锭和再生铝原料的，东向海铁联运按照3000元/20英尺集装箱、6000元/40英尺集装箱补贴，西部陆海新通道海铁联运按照1929元/20英尺集装箱、4710元/40英尺集装箱补贴，中欧（亚）铁路运输按照9000元/40英尺集装箱补贴。对企业进口铝锭和再生铝原料过程中，发生集装箱超期使用费的，按照实际支付费用的70%给予补贴。对通过铝交易中心引进市外（国内相关地区）铝锭和再生铝原料的物流或贸易企业，每吨给予55元物流补贴。对通过广元铝贸易和交易平台购买铝锭熔炼后就地进行精深加工的企业，每吨铝锭给予50元熔炼补贴（生产外销铝棒、合金锭、大扁锭等产品的除外）。对入驻中国西部（广元）铝锭贸易中心、西部再生铝贸易中心的企业，前三年给予租赁费50%、物业费100%补贴。</w:t>
      </w:r>
    </w:p>
    <w:p>
      <w:pPr>
        <w:keepNext w:val="0"/>
        <w:keepLines w:val="0"/>
        <w:pageBreakBefore w:val="0"/>
        <w:widowControl w:val="0"/>
        <w:tabs>
          <w:tab w:val="left" w:pos="3996"/>
        </w:tabs>
        <w:suppressAutoHyphens/>
        <w:kinsoku/>
        <w:wordWrap/>
        <w:overflowPunct/>
        <w:topLinePunct w:val="0"/>
        <w:autoSpaceDE/>
        <w:autoSpaceDN/>
        <w:adjustRightInd/>
        <w:snapToGrid/>
        <w:spacing w:line="576" w:lineRule="exact"/>
        <w:ind w:firstLineChars="200" w:firstLine="640"/>
        <w:jc w:val="both"/>
        <w:rPr>
          <w:rFonts w:ascii="仿宋_GB2312" w:eastAsia="仿宋_GB2312" w:hint="eastAsia"/>
          <w:color w:val="000000"/>
          <w:spacing w:val="0"/>
          <w:sz w:val="32"/>
          <w:szCs w:val="32"/>
          <w:lang w:val="en-US" w:eastAsia="zh-CN"/>
        </w:rPr>
      </w:pPr>
      <w:r>
        <w:rPr>
          <w:rFonts w:ascii="黑体" w:eastAsia="黑体" w:hint="eastAsia"/>
          <w:color w:val="auto"/>
          <w:sz w:val="32"/>
          <w:szCs w:val="32"/>
          <w:u w:val="none"/>
        </w:rPr>
        <w:t>四、支持研发创新。</w:t>
      </w:r>
      <w:r>
        <w:rPr>
          <w:rFonts w:ascii="仿宋_GB2312" w:eastAsia="仿宋_GB2312" w:hint="eastAsia"/>
          <w:color w:val="000000"/>
          <w:spacing w:val="0"/>
          <w:sz w:val="32"/>
          <w:szCs w:val="32"/>
          <w:lang w:val="en-US" w:eastAsia="zh-CN"/>
        </w:rPr>
        <w:t>对获得国家科学技术奖特等奖、一等奖、二等奖，且排序前三的单位或个人的科技成果，分别给予100万元、50万元、30万元资金补助。对获得省科学技术奖特等奖、一等奖、二等奖、三等奖，且排序第一的单位或个人的科技成果，分别给予50万元、30万元、20万元、10万元资金补助。</w:t>
      </w:r>
      <w:r>
        <w:rPr>
          <w:rFonts w:ascii="仿宋_GB2312" w:eastAsia="仿宋_GB2312" w:hint="eastAsia"/>
          <w:color w:val="000000"/>
          <w:spacing w:val="0"/>
          <w:sz w:val="32"/>
          <w:szCs w:val="32"/>
        </w:rPr>
        <w:t>对新获批</w:t>
      </w:r>
      <w:r>
        <w:rPr>
          <w:rFonts w:ascii="仿宋_GB2312" w:eastAsia="仿宋_GB2312" w:hint="eastAsia"/>
          <w:color w:val="000000"/>
          <w:spacing w:val="0"/>
          <w:sz w:val="32"/>
          <w:szCs w:val="32"/>
          <w:lang w:eastAsia="zh-CN"/>
        </w:rPr>
        <w:t>、</w:t>
      </w:r>
      <w:r>
        <w:rPr>
          <w:rFonts w:ascii="仿宋_GB2312" w:eastAsia="仿宋_GB2312" w:hint="eastAsia"/>
          <w:color w:val="000000"/>
          <w:spacing w:val="0"/>
          <w:sz w:val="32"/>
          <w:szCs w:val="32"/>
        </w:rPr>
        <w:t>考评优秀等次的国家、省级重点实验室、技术（产业）创新中心、工程（技术）研究中心、新型研发机构、</w:t>
      </w:r>
      <w:r>
        <w:rPr>
          <w:rFonts w:ascii="仿宋_GB2312" w:eastAsia="仿宋_GB2312" w:hint="eastAsia"/>
          <w:color w:val="000000"/>
          <w:spacing w:val="0"/>
          <w:sz w:val="32"/>
          <w:szCs w:val="32"/>
          <w:lang w:val="en-US" w:eastAsia="zh-CN"/>
        </w:rPr>
        <w:t>产业知识产权运营中心、产业计量测试中心</w:t>
      </w:r>
      <w:r>
        <w:rPr>
          <w:rFonts w:ascii="仿宋_GB2312" w:eastAsia="仿宋_GB2312" w:hint="eastAsia"/>
          <w:color w:val="000000"/>
          <w:spacing w:val="0"/>
          <w:sz w:val="32"/>
          <w:szCs w:val="32"/>
        </w:rPr>
        <w:t>等创新平台分别给予不超过200万元、50万元项目资金支持，同一企业同一年度不重复享受。</w:t>
      </w:r>
      <w:r>
        <w:rPr>
          <w:rFonts w:ascii="仿宋_GB2312" w:eastAsia="仿宋_GB2312" w:hint="eastAsia"/>
          <w:color w:val="000000"/>
          <w:spacing w:val="0"/>
          <w:sz w:val="32"/>
          <w:szCs w:val="32"/>
          <w:lang w:val="en-US" w:eastAsia="zh-CN"/>
        </w:rPr>
        <w:t>对在四川省铝基新材料质量检验检测中心完成产品检验检测的企业，每次按检测费用的20%给予补助</w:t>
      </w:r>
      <w:r>
        <w:rPr>
          <w:rFonts w:ascii="仿宋_GB2312" w:hAnsi="仿宋_GB2312" w:hint="eastAsia"/>
          <w:color w:val="auto"/>
          <w:sz w:val="32"/>
          <w:szCs w:val="32"/>
          <w:u w:val="none"/>
          <w:lang w:val="en-US" w:eastAsia="zh-CN" w:bidi="ar-SA"/>
        </w:rPr>
        <w:t>，</w:t>
      </w:r>
      <w:r>
        <w:rPr>
          <w:rFonts w:ascii="仿宋_GB2312" w:eastAsia="仿宋_GB2312" w:hint="eastAsia"/>
          <w:color w:val="000000"/>
          <w:spacing w:val="0"/>
          <w:sz w:val="32"/>
          <w:szCs w:val="32"/>
          <w:lang w:val="en-US" w:eastAsia="zh-CN"/>
        </w:rPr>
        <w:t>单个企业每年最高不超过5万元。</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Chars="200" w:firstLine="640"/>
        <w:jc w:val="both"/>
        <w:textAlignment w:val="auto"/>
        <w:rPr>
          <w:rFonts w:ascii="仿宋_GB2312" w:eastAsia="仿宋_GB2312" w:hint="eastAsia"/>
          <w:color w:val="000000"/>
          <w:spacing w:val="0"/>
          <w:sz w:val="32"/>
          <w:szCs w:val="32"/>
        </w:rPr>
      </w:pPr>
      <w:r>
        <w:rPr>
          <w:rFonts w:ascii="黑体" w:eastAsia="黑体" w:hint="eastAsia"/>
          <w:color w:val="auto"/>
          <w:sz w:val="32"/>
          <w:szCs w:val="32"/>
          <w:u w:val="none"/>
        </w:rPr>
        <w:t>五、支持品牌创建。</w:t>
      </w:r>
      <w:r>
        <w:rPr>
          <w:rFonts w:ascii="仿宋_GB2312" w:eastAsia="仿宋_GB2312" w:hint="eastAsia"/>
          <w:color w:val="000000"/>
          <w:spacing w:val="0"/>
          <w:sz w:val="32"/>
          <w:szCs w:val="32"/>
        </w:rPr>
        <w:t>对新认定国家重点用能行业能效“领跑者”的企业，给予200万元奖励。对新认定国家、省级、市级绿色工厂的企业，分别给予50万元、30万元、10万元奖励。对新认定国家、省级绿色设计产品的企业，分别给予20万元、10万元奖励。对新认定的“独角兽”企业给予500万元奖励，对新认定的国家级专精特新“小巨人”给予50万元奖励，对新认定的省级专精特新中小企业给予20万元奖励。</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Chars="200" w:firstLine="640"/>
        <w:jc w:val="both"/>
        <w:textAlignment w:val="auto"/>
        <w:rPr>
          <w:rFonts w:ascii="仿宋_GB2312" w:eastAsia="仿宋_GB2312" w:hint="eastAsia"/>
          <w:color w:val="000000"/>
          <w:spacing w:val="0"/>
          <w:sz w:val="32"/>
          <w:szCs w:val="32"/>
        </w:rPr>
      </w:pPr>
      <w:r>
        <w:rPr>
          <w:rFonts w:ascii="黑体" w:eastAsia="黑体" w:hint="eastAsia"/>
          <w:color w:val="auto"/>
          <w:sz w:val="32"/>
          <w:szCs w:val="32"/>
          <w:u w:val="none"/>
        </w:rPr>
        <w:t>六、支持质量提升。</w:t>
      </w:r>
      <w:r>
        <w:rPr>
          <w:rFonts w:ascii="仿宋_GB2312" w:eastAsia="仿宋_GB2312" w:hint="eastAsia"/>
          <w:color w:val="000000"/>
          <w:spacing w:val="0"/>
          <w:sz w:val="32"/>
          <w:szCs w:val="32"/>
        </w:rPr>
        <w:t>对荣获国家专利奖的市内企业（单位），给予最高100万元奖励。</w:t>
      </w:r>
      <w:r>
        <w:rPr>
          <w:rFonts w:ascii="仿宋_GB2312" w:eastAsia="仿宋_GB2312" w:hint="eastAsia"/>
          <w:color w:val="000000"/>
          <w:spacing w:val="0"/>
          <w:sz w:val="32"/>
          <w:szCs w:val="32"/>
          <w:lang w:val="en-US" w:eastAsia="zh-CN"/>
        </w:rPr>
        <w:t>对国家知识产权局新认定的高价值发明专利</w:t>
      </w:r>
      <w:r>
        <w:rPr>
          <w:rFonts w:ascii="仿宋_GB2312" w:eastAsia="仿宋_GB2312" w:hint="eastAsia"/>
          <w:color w:val="000000"/>
          <w:spacing w:val="0"/>
          <w:sz w:val="32"/>
          <w:szCs w:val="32"/>
        </w:rPr>
        <w:t>，每个专利给予2万元奖励。对新认定“天府名品”的企业，给予10万元奖励。对新获评中国质量奖、天府质量奖、市长质量奖的企业，分别给予50万元、30万元、15万元奖励。对新主导制定国际、国家、行业、团体标准的，分别给予50万、30万、15万、10万元奖励，对参与制定国际、国家、行业、团体标准的，分别给予最高20万、10万、5万、2万元奖励。</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Chars="200" w:firstLine="640"/>
        <w:jc w:val="both"/>
        <w:textAlignment w:val="auto"/>
        <w:rPr>
          <w:rFonts w:ascii="仿宋_GB2312" w:eastAsia="仿宋_GB2312" w:hint="eastAsia"/>
          <w:color w:val="000000"/>
          <w:spacing w:val="0"/>
          <w:sz w:val="32"/>
          <w:szCs w:val="32"/>
        </w:rPr>
      </w:pPr>
      <w:r>
        <w:rPr>
          <w:rFonts w:ascii="黑体" w:eastAsia="黑体" w:hint="eastAsia"/>
          <w:color w:val="auto"/>
          <w:sz w:val="32"/>
          <w:szCs w:val="32"/>
          <w:u w:val="none"/>
        </w:rPr>
        <w:t>七、支持企业融资。</w:t>
      </w:r>
      <w:r>
        <w:rPr>
          <w:rFonts w:ascii="仿宋_GB2312" w:eastAsia="仿宋_GB2312" w:hint="eastAsia"/>
          <w:color w:val="000000"/>
          <w:spacing w:val="0"/>
          <w:sz w:val="32"/>
          <w:szCs w:val="32"/>
        </w:rPr>
        <w:t>鼓励担保公司按市场化原则为铝基新材料生产和贸易企业在生产经营活动中所需的流动资金提供融资担保服务，</w:t>
      </w:r>
      <w:r>
        <w:rPr>
          <w:rFonts w:ascii="仿宋_GB2312" w:eastAsia="仿宋_GB2312" w:hint="eastAsia"/>
          <w:color w:val="000000"/>
          <w:spacing w:val="0"/>
          <w:sz w:val="32"/>
          <w:szCs w:val="32"/>
          <w:lang w:val="en-US" w:eastAsia="zh-CN"/>
        </w:rPr>
        <w:t>对企业担保费用</w:t>
      </w:r>
      <w:r>
        <w:rPr>
          <w:rFonts w:ascii="仿宋_GB2312" w:eastAsia="仿宋_GB2312" w:hint="eastAsia"/>
          <w:color w:val="000000"/>
          <w:spacing w:val="0"/>
          <w:sz w:val="32"/>
          <w:szCs w:val="32"/>
        </w:rPr>
        <w:t>按照企业所付年度担保费用的50%进行补助，</w:t>
      </w:r>
      <w:r>
        <w:rPr>
          <w:rFonts w:ascii="仿宋_GB2312" w:eastAsia="仿宋_GB2312" w:hint="eastAsia"/>
          <w:color w:val="000000"/>
          <w:spacing w:val="0"/>
          <w:sz w:val="32"/>
          <w:szCs w:val="32"/>
          <w:lang w:val="en-US" w:eastAsia="zh-CN"/>
        </w:rPr>
        <w:t>原则上担保费率最高不超过2%，</w:t>
      </w:r>
      <w:r>
        <w:rPr>
          <w:rFonts w:ascii="仿宋_GB2312" w:eastAsia="仿宋_GB2312" w:hint="eastAsia"/>
          <w:color w:val="000000"/>
          <w:spacing w:val="0"/>
          <w:sz w:val="32"/>
          <w:szCs w:val="32"/>
        </w:rPr>
        <w:t>单个企业每年补助资金最高不超过200万元。对固定资产投资10亿元以上的重大项目进行贴息支持，以企业在金融机构融资额为基数，按照当期基准利率的</w:t>
      </w:r>
      <w:r>
        <w:rPr>
          <w:rFonts w:ascii="仿宋_GB2312" w:eastAsia="仿宋_GB2312" w:hint="eastAsia"/>
          <w:color w:val="000000"/>
          <w:spacing w:val="0"/>
          <w:sz w:val="32"/>
          <w:szCs w:val="32"/>
          <w:lang w:val="en-US" w:eastAsia="zh-CN"/>
        </w:rPr>
        <w:t>10%</w:t>
      </w:r>
      <w:r>
        <w:rPr>
          <w:rFonts w:ascii="仿宋_GB2312" w:eastAsia="仿宋_GB2312" w:hint="eastAsia"/>
          <w:color w:val="000000"/>
          <w:spacing w:val="0"/>
          <w:sz w:val="32"/>
          <w:szCs w:val="32"/>
        </w:rPr>
        <w:t>进行贴息，贴息期限最长不超过3年，</w:t>
      </w:r>
      <w:r>
        <w:rPr>
          <w:rFonts w:ascii="仿宋_GB2312" w:eastAsia="仿宋_GB2312" w:hint="eastAsia"/>
          <w:color w:val="000000"/>
          <w:spacing w:val="0"/>
          <w:sz w:val="32"/>
          <w:szCs w:val="32"/>
          <w:lang w:eastAsia="zh-CN"/>
        </w:rPr>
        <w:t>单个企业</w:t>
      </w:r>
      <w:r>
        <w:rPr>
          <w:rFonts w:ascii="仿宋_GB2312" w:eastAsia="仿宋_GB2312" w:hint="eastAsia"/>
          <w:color w:val="000000"/>
          <w:spacing w:val="0"/>
          <w:sz w:val="32"/>
          <w:szCs w:val="32"/>
        </w:rPr>
        <w:t>贴息总金额最高不超过400万元。</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Chars="200" w:firstLine="640"/>
        <w:jc w:val="both"/>
        <w:textAlignment w:val="auto"/>
        <w:rPr>
          <w:rFonts w:ascii="仿宋_GB2312" w:hAnsi="仿宋_GB2312" w:hint="eastAsia"/>
          <w:color w:val="auto"/>
          <w:sz w:val="32"/>
          <w:szCs w:val="32"/>
          <w:u w:val="none"/>
        </w:rPr>
      </w:pPr>
      <w:r>
        <w:rPr>
          <w:rFonts w:ascii="黑体" w:eastAsia="黑体" w:hint="eastAsia"/>
          <w:color w:val="auto"/>
          <w:sz w:val="32"/>
          <w:szCs w:val="32"/>
          <w:u w:val="none"/>
        </w:rPr>
        <w:t>八、支持绿色发展。</w:t>
      </w:r>
      <w:r>
        <w:rPr>
          <w:rFonts w:ascii="仿宋_GB2312" w:eastAsia="仿宋_GB2312" w:hint="eastAsia"/>
          <w:color w:val="000000"/>
          <w:spacing w:val="0"/>
          <w:sz w:val="32"/>
          <w:szCs w:val="32"/>
        </w:rPr>
        <w:t>我市留存的天然气气量，重点支持铝基新材料产业发展。</w:t>
      </w:r>
      <w:r>
        <w:rPr>
          <w:rFonts w:ascii="仿宋_GB2312" w:eastAsia="仿宋_GB2312" w:hint="eastAsia"/>
          <w:color w:val="000000"/>
          <w:spacing w:val="0"/>
          <w:sz w:val="32"/>
          <w:szCs w:val="32"/>
          <w:lang w:eastAsia="zh-CN"/>
        </w:rPr>
        <w:t>对电解铝行业新创建环保绩效</w:t>
      </w:r>
      <w:r>
        <w:rPr>
          <w:rFonts w:ascii="仿宋_GB2312" w:eastAsia="仿宋_GB2312" w:hint="eastAsia"/>
          <w:color w:val="000000"/>
          <w:spacing w:val="0"/>
          <w:sz w:val="32"/>
          <w:szCs w:val="32"/>
          <w:lang w:val="en-US" w:eastAsia="zh-CN"/>
        </w:rPr>
        <w:t>A级的企业，给予50万元奖励。</w:t>
      </w:r>
      <w:r>
        <w:rPr>
          <w:rFonts w:ascii="仿宋_GB2312" w:eastAsia="仿宋_GB2312" w:hint="eastAsia"/>
          <w:color w:val="000000"/>
          <w:spacing w:val="0"/>
          <w:sz w:val="32"/>
          <w:szCs w:val="32"/>
        </w:rPr>
        <w:t>鼓励企业开展碳足迹认证、碳排放核查，对通过欧盟CBAM碳关税认证的企业，认证费用按照50%给予补贴，最高不超过20万元。科学有序推进新型储能项目建设，新建装机规模不低于1万千瓦的铝</w:t>
      </w:r>
      <w:r>
        <w:rPr>
          <w:rFonts w:ascii="仿宋_GB2312" w:eastAsia="仿宋_GB2312" w:hint="eastAsia"/>
          <w:color w:val="000000"/>
          <w:spacing w:val="0"/>
          <w:sz w:val="32"/>
          <w:szCs w:val="32"/>
          <w:lang w:eastAsia="zh-CN"/>
        </w:rPr>
        <w:t>产业企业</w:t>
      </w:r>
      <w:r>
        <w:rPr>
          <w:rFonts w:ascii="仿宋_GB2312" w:eastAsia="仿宋_GB2312" w:hint="eastAsia"/>
          <w:color w:val="000000"/>
          <w:spacing w:val="0"/>
          <w:sz w:val="32"/>
          <w:szCs w:val="32"/>
        </w:rPr>
        <w:t>用户侧储能项目（铅蓄项目除外），按照装机规模给予10元/千瓦补贴，最高不超过50万元。</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Chars="200" w:firstLine="640"/>
        <w:jc w:val="both"/>
        <w:textAlignment w:val="auto"/>
        <w:rPr>
          <w:rFonts w:ascii="仿宋_GB2312" w:eastAsia="仿宋_GB2312" w:hint="eastAsia"/>
          <w:color w:val="000000"/>
          <w:spacing w:val="0"/>
          <w:sz w:val="32"/>
          <w:szCs w:val="32"/>
        </w:rPr>
      </w:pPr>
      <w:r>
        <w:rPr>
          <w:rFonts w:ascii="黑体" w:eastAsia="黑体" w:hint="eastAsia"/>
          <w:color w:val="auto"/>
          <w:sz w:val="32"/>
          <w:szCs w:val="32"/>
          <w:u w:val="none"/>
        </w:rPr>
        <w:t>九、支持开放合作。</w:t>
      </w:r>
      <w:r>
        <w:rPr>
          <w:rFonts w:ascii="仿宋_GB2312" w:eastAsia="仿宋_GB2312" w:hint="eastAsia"/>
          <w:color w:val="000000"/>
          <w:spacing w:val="0"/>
          <w:sz w:val="32"/>
          <w:szCs w:val="32"/>
        </w:rPr>
        <w:t>支持企业购买国内外高校院所、新型研发机构等单位科技成果实施转化，按照技术合同成交金额的1%给予补助，最高不超过100万元。鼓励企业积极开拓海外市场，对企业用以拓展国际市场的推广费用、</w:t>
      </w:r>
      <w:r>
        <w:rPr>
          <w:rFonts w:ascii="仿宋_GB2312" w:eastAsia="仿宋_GB2312" w:hint="eastAsia"/>
          <w:color w:val="000000"/>
          <w:spacing w:val="0"/>
          <w:sz w:val="32"/>
          <w:szCs w:val="32"/>
          <w:lang w:val="en-US" w:eastAsia="zh-CN"/>
        </w:rPr>
        <w:t>认证费用、</w:t>
      </w:r>
      <w:r>
        <w:rPr>
          <w:rFonts w:ascii="仿宋_GB2312" w:eastAsia="仿宋_GB2312" w:hint="eastAsia"/>
          <w:color w:val="000000"/>
          <w:spacing w:val="0"/>
          <w:sz w:val="32"/>
          <w:szCs w:val="32"/>
        </w:rPr>
        <w:t>报关费用、贸易咨询费用等，按照50%给予补贴，最高不超过50万元。支持企业参加铝基新材料产业国际和国内大型博览会、产品展销会，每个标准展位给予企业1万元奖励，最高分别不超过5万元、3万元。</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Chars="200" w:firstLine="640"/>
        <w:jc w:val="both"/>
        <w:textAlignment w:val="auto"/>
        <w:rPr>
          <w:rFonts w:ascii="仿宋_GB2312" w:eastAsia="仿宋_GB2312" w:hint="eastAsia"/>
          <w:color w:val="000000"/>
          <w:spacing w:val="0"/>
          <w:sz w:val="32"/>
          <w:szCs w:val="32"/>
          <w:lang w:eastAsia="zh-CN"/>
        </w:rPr>
      </w:pPr>
      <w:r>
        <w:rPr>
          <w:rFonts w:ascii="黑体" w:eastAsia="黑体" w:hint="eastAsia"/>
          <w:color w:val="auto"/>
          <w:sz w:val="32"/>
          <w:szCs w:val="32"/>
          <w:u w:val="none"/>
        </w:rPr>
        <w:t>十、强化人才支撑。</w:t>
      </w:r>
      <w:r>
        <w:rPr>
          <w:rFonts w:ascii="仿宋_GB2312" w:eastAsia="仿宋_GB2312" w:hint="eastAsia"/>
          <w:color w:val="000000"/>
          <w:spacing w:val="0"/>
          <w:sz w:val="32"/>
          <w:szCs w:val="32"/>
          <w:lang w:eastAsia="zh-CN"/>
        </w:rPr>
        <w:t>市内铝基新材料产业重点企业、重点项目的各类人才引进、培养、激励与服务保障，全面适用《广元市支持企业人才队伍建设若干措施》等人才支持政策。市、县（区）铝基新材料产业专班配备人才服务专员，给予“一企一策”精准对接与申报辅导服务。</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Chars="200" w:firstLine="640"/>
        <w:jc w:val="both"/>
        <w:textAlignment w:val="auto"/>
        <w:rPr>
          <w:rFonts w:ascii="仿宋_GB2312" w:eastAsia="仿宋_GB2312" w:hint="eastAsia"/>
          <w:color w:val="000000"/>
          <w:spacing w:val="0"/>
          <w:sz w:val="32"/>
          <w:szCs w:val="32"/>
        </w:rPr>
      </w:pPr>
      <w:r>
        <w:rPr>
          <w:rFonts w:ascii="仿宋_GB2312" w:eastAsia="仿宋_GB2312" w:hint="eastAsia"/>
          <w:color w:val="000000"/>
          <w:spacing w:val="0"/>
          <w:sz w:val="32"/>
          <w:szCs w:val="32"/>
        </w:rPr>
        <w:t>本措施所需财政奖补资金由受益财政承担。奖补资金均不含国省奖补的资金，市、县（区）另有规定的，按就高不重复的原则予以支持。措施出台后，制定配套实施细则落实。</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Chars="200" w:firstLine="640"/>
        <w:jc w:val="both"/>
        <w:textAlignment w:val="auto"/>
        <w:rPr>
          <w:rFonts w:ascii="仿宋_GB2312" w:eastAsia="仿宋_GB2312" w:hint="eastAsia"/>
          <w:color w:val="000000"/>
          <w:spacing w:val="0"/>
          <w:sz w:val="32"/>
          <w:szCs w:val="32"/>
        </w:rPr>
      </w:pPr>
      <w:r>
        <w:rPr>
          <w:rFonts w:ascii="仿宋_GB2312" w:eastAsia="仿宋_GB2312" w:hint="eastAsia"/>
          <w:color w:val="000000"/>
          <w:spacing w:val="0"/>
          <w:sz w:val="32"/>
          <w:szCs w:val="32"/>
        </w:rPr>
        <w:t>本措施由市经济和信息化局、市财政局负责解释，自2026年x月1日起施行，有效期</w:t>
      </w:r>
      <w:r>
        <w:rPr>
          <w:rFonts w:ascii="仿宋_GB2312" w:eastAsia="仿宋_GB2312" w:hint="eastAsia"/>
          <w:color w:val="000000"/>
          <w:spacing w:val="0"/>
          <w:sz w:val="32"/>
          <w:szCs w:val="32"/>
          <w:lang w:val="en-US" w:eastAsia="zh-CN"/>
        </w:rPr>
        <w:t>五</w:t>
      </w:r>
      <w:r>
        <w:rPr>
          <w:rFonts w:ascii="仿宋_GB2312" w:eastAsia="仿宋_GB2312" w:hint="eastAsia"/>
          <w:color w:val="000000"/>
          <w:spacing w:val="0"/>
          <w:sz w:val="32"/>
          <w:szCs w:val="32"/>
        </w:rPr>
        <w:t>年。</w:t>
      </w:r>
    </w:p>
    <w:p/>
    <w:sectPr>
      <w:pgSz w:w="11907" w:h="16840"/>
      <w:pgMar w:top="2098" w:right="1474" w:bottom="1985" w:left="1588"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小标宋简体">
    <w:panose1 w:val="03000509000000000000"/>
    <w:charset w:val="86"/>
    <w:family w:val="script"/>
    <w:pitch w:val="variable"/>
    <w:sig w:usb0="00000001" w:usb1="080E0000" w:usb2="00000000" w:usb3="00000000" w:csb0="00040000" w:csb1="00000000"/>
  </w:font>
  <w:font w:name="楷体_GB2312">
    <w:panose1 w:val="02010609030101010101"/>
    <w:charset w:val="86"/>
    <w:family w:val="auto"/>
    <w:pitch w:val="variable"/>
    <w:sig w:usb0="00000001" w:usb1="080E0000" w:usb2="00000000" w:usb3="00000000" w:csb0="00040000" w:csb1="00000000"/>
  </w:font>
  <w:font w:name="Arial">
    <w:panose1 w:val="020B0604020202020204"/>
    <w:charset w:val="00"/>
    <w:family w:val="auto"/>
    <w:pitch w:val="variable"/>
    <w:sig w:usb0="00007A87" w:usb1="80000000" w:usb2="00000008" w:usb3="00000000" w:csb0="400001FF" w:csb1="FFFF0000"/>
  </w:font>
  <w:font w:name="仿宋_GB2312">
    <w:panose1 w:val="02010609030101010101"/>
    <w:charset w:val="86"/>
    <w:family w:val="auto"/>
    <w:pitch w:val="variable"/>
    <w:sig w:usb0="00000001" w:usb1="080E0000" w:usb2="00000000" w:usb3="00000000" w:csb0="00040000" w:csb1="00000000"/>
  </w:font>
  <w:font w:name="Times New Roman">
    <w:panose1 w:val="02020603050405020304"/>
    <w:charset w:val="00"/>
    <w:family w:val="auto"/>
    <w:pitch w:val="variable"/>
    <w:sig w:usb0="00000A87" w:usb1="00000000" w:usb2="00000000" w:usb3="00000000" w:csb0="400001BF" w:csb1="DFF70000"/>
  </w:font>
  <w:font w:name="Lucida Sans">
    <w:panose1 w:val="020B0602030504020204"/>
    <w:charset w:val="00"/>
    <w:family w:val="auto"/>
    <w:pitch w:val="variable"/>
    <w:sig w:usb0="00000003" w:usb1="00000000" w:usb2="00000000" w:usb3="00000000" w:csb0="20000001" w:csb1="00000000"/>
  </w:font>
  <w:font w:name="宋体">
    <w:panose1 w:val="02010600030101010101"/>
    <w:charset w:val="86"/>
    <w:family w:val="auto"/>
    <w:pitch w:val="variable"/>
    <w:sig w:usb0="00000003" w:usb1="080E0000" w:usb2="00000000" w:usb3="00000000" w:csb0="00040001" w:csb1="00000000"/>
  </w:font>
  <w:font w:name="Calibri">
    <w:panose1 w:val="00000000000000000000"/>
    <w:charset w:val="00"/>
    <w:family w:val="auto"/>
    <w:pitch w:val="variable"/>
    <w:sig w:usb0="00000000" w:usb1="00000000" w:usb2="00000000" w:usb3="00000000" w:csb0="00000000" w:csb1="00000000"/>
  </w:font>
  <w:font w:name="文泉驿正黑">
    <w:panose1 w:val="00000000000000000000"/>
    <w:charset w:val="00"/>
    <w:family w:val="auto"/>
    <w:pitch w:val="variable"/>
    <w:sig w:usb0="00000000" w:usb1="00000000" w:usb2="00000000" w:usb3="00000000" w:csb0="00000000"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10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pPr>
      <w:widowControl w:val="0"/>
      <w:suppressAutoHyphens/>
      <w:bidi w:val="0"/>
      <w:jc w:val="both"/>
    </w:pPr>
    <w:rPr>
      <w:rFonts w:ascii="Calibri" w:eastAsia="宋体" w:cs="Times New Roman" w:hAnsi="Calibri"/>
      <w:color w:val="auto"/>
      <w:kern w:val="2"/>
      <w:sz w:val="21"/>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23">
    <w:name w:val="toc 4"/>
    <w:basedOn w:val="0"/>
    <w:autoRedefine/>
    <w:next w:val="0"/>
    <w:pPr>
      <w:ind w:left="1260"/>
    </w:pPr>
  </w:style>
  <w:style w:type="paragraph" w:styleId="78">
    <w:name w:val="Body Text First Indent 2"/>
    <w:next w:val="0"/>
    <w:pPr>
      <w:widowControl w:val="0"/>
      <w:spacing w:before="100" w:beforeAutospacing="1" w:after="100" w:afterAutospacing="1"/>
      <w:ind w:leftChars="200" w:left="200" w:firstLineChars="200" w:firstLine="200"/>
      <w:jc w:val="both"/>
    </w:pPr>
    <w:rPr>
      <w:rFonts w:ascii="Calibri" w:eastAsia="仿宋_GB2312" w:cs="Arial" w:hAnsi="Calibri"/>
      <w:kern w:val="2"/>
      <w:sz w:val="21"/>
      <w:szCs w:val="21"/>
      <w:lang w:val="en-US" w:eastAsia="zh-CN" w:bidi="ar-SA"/>
    </w:rPr>
  </w:style>
  <w:style w:type="paragraph" w:customStyle="1" w:styleId="133">
    <w:name w:val="样式1"/>
    <w:pPr>
      <w:widowControl w:val="0"/>
      <w:jc w:val="both"/>
    </w:pPr>
    <w:rPr>
      <w:rFonts w:ascii="Times New Roman" w:eastAsia="仿宋_GB2312" w:cs="文泉驿正黑" w:hAnsi="Times New Roman"/>
      <w:b/>
      <w:bCs/>
      <w:color w:val="538135"/>
      <w:kern w:val="2"/>
      <w:sz w:val="28"/>
      <w:szCs w:val="28"/>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0F8FEE6C-6110-4ED8-AC81-C6ECE9C568F9}">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0</TotalTime>
  <Application>Yozo_Office27021597764231179</Application>
  <Pages>5</Pages>
  <Words>0</Words>
  <Characters>1880</Characters>
  <Lines>0</Lines>
  <Paragraphs>19</Paragraphs>
  <CharactersWithSpaces>2507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user</dc:creator>
  <cp:lastModifiedBy>user</cp:lastModifiedBy>
  <cp:revision>1</cp:revision>
  <dcterms:created xsi:type="dcterms:W3CDTF">2026-04-15T09:00:07Z</dcterms:created>
  <dcterms:modified xsi:type="dcterms:W3CDTF">2026-04-15T09:00:48Z</dcterms:modified>
</cp:coreProperties>
</file>